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92" w:rsidRPr="006C579E" w:rsidRDefault="00646092" w:rsidP="006C579E">
      <w:pPr>
        <w:spacing w:after="480"/>
        <w:ind w:left="284" w:right="249"/>
        <w:jc w:val="center"/>
        <w:rPr>
          <w:rFonts w:ascii="Verdana" w:hAnsi="Verdana"/>
          <w:color w:val="0066CC"/>
          <w:sz w:val="60"/>
          <w:szCs w:val="60"/>
        </w:rPr>
      </w:pPr>
      <w:bookmarkStart w:id="0" w:name="_GoBack"/>
      <w:bookmarkEnd w:id="0"/>
      <w:r w:rsidRPr="006C579E">
        <w:rPr>
          <w:rFonts w:ascii="Verdana" w:hAnsi="Verdana"/>
          <w:color w:val="0066CC"/>
          <w:sz w:val="60"/>
          <w:szCs w:val="60"/>
        </w:rPr>
        <w:t>Weiterbildung bringt weiter!</w:t>
      </w:r>
    </w:p>
    <w:p w:rsidR="00646092" w:rsidRDefault="00646092" w:rsidP="006C579E">
      <w:pPr>
        <w:spacing w:after="360"/>
        <w:ind w:left="284" w:right="249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Im Berufsleben gilt:</w:t>
      </w:r>
    </w:p>
    <w:p w:rsidR="00646092" w:rsidRPr="006C579E" w:rsidRDefault="00646092" w:rsidP="006C579E">
      <w:pPr>
        <w:ind w:left="284" w:right="249"/>
        <w:jc w:val="center"/>
        <w:rPr>
          <w:rFonts w:ascii="Verdana" w:hAnsi="Verdana"/>
          <w:color w:val="0066CC"/>
          <w:sz w:val="40"/>
          <w:szCs w:val="40"/>
        </w:rPr>
      </w:pPr>
      <w:r w:rsidRPr="006C579E">
        <w:rPr>
          <w:rFonts w:ascii="Verdana" w:hAnsi="Verdana"/>
          <w:bCs/>
          <w:color w:val="0066CC"/>
          <w:sz w:val="40"/>
          <w:szCs w:val="40"/>
        </w:rPr>
        <w:t>Wer meint, etwas zu sein</w:t>
      </w:r>
      <w:proofErr w:type="gramStart"/>
      <w:r w:rsidRPr="006C579E">
        <w:rPr>
          <w:rFonts w:ascii="Verdana" w:hAnsi="Verdana"/>
          <w:bCs/>
          <w:color w:val="0066CC"/>
          <w:sz w:val="40"/>
          <w:szCs w:val="40"/>
        </w:rPr>
        <w:t>,</w:t>
      </w:r>
      <w:proofErr w:type="gramEnd"/>
      <w:r w:rsidRPr="006C579E">
        <w:rPr>
          <w:rFonts w:ascii="Verdana" w:hAnsi="Verdana"/>
          <w:bCs/>
          <w:color w:val="0066CC"/>
          <w:sz w:val="40"/>
          <w:szCs w:val="40"/>
        </w:rPr>
        <w:br/>
        <w:t>hat aufgehört, etwas zu werden</w:t>
      </w:r>
    </w:p>
    <w:p w:rsidR="006C579E" w:rsidRDefault="00646092" w:rsidP="006C579E">
      <w:pPr>
        <w:spacing w:before="600" w:line="480" w:lineRule="auto"/>
        <w:ind w:left="284" w:right="249"/>
        <w:jc w:val="center"/>
      </w:pPr>
      <w:r>
        <w:rPr>
          <w:noProof/>
          <w:lang w:eastAsia="de-CH"/>
        </w:rPr>
        <w:drawing>
          <wp:inline distT="0" distB="0" distL="0" distR="0">
            <wp:extent cx="3781425" cy="4619625"/>
            <wp:effectExtent l="1905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79E" w:rsidRPr="006C579E" w:rsidRDefault="006C579E" w:rsidP="006C579E">
      <w:pPr>
        <w:ind w:left="284" w:right="249"/>
        <w:jc w:val="center"/>
        <w:rPr>
          <w:rFonts w:ascii="Verdana" w:hAnsi="Verdana"/>
          <w:color w:val="0066CC"/>
          <w:sz w:val="60"/>
          <w:szCs w:val="60"/>
        </w:rPr>
      </w:pPr>
      <w:r w:rsidRPr="006C579E">
        <w:rPr>
          <w:rFonts w:ascii="Verdana" w:hAnsi="Verdana"/>
          <w:color w:val="0066CC"/>
          <w:sz w:val="60"/>
          <w:szCs w:val="60"/>
        </w:rPr>
        <w:t>Die Techniker-Schule macht's möglich</w:t>
      </w:r>
    </w:p>
    <w:p w:rsidR="00646092" w:rsidRDefault="00646092" w:rsidP="00646092">
      <w:pPr>
        <w:spacing w:before="600" w:line="480" w:lineRule="auto"/>
        <w:ind w:left="284" w:right="249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45251D" w:rsidRPr="00923F1F" w:rsidRDefault="00F12F65" w:rsidP="008D03A7">
      <w:pPr>
        <w:pStyle w:val="Titel"/>
      </w:pPr>
      <w:r w:rsidRPr="00923F1F">
        <w:rPr>
          <w:noProof/>
          <w:lang w:eastAsia="de-CH"/>
        </w:rPr>
        <w:lastRenderedPageBreak/>
        <w:drawing>
          <wp:inline distT="0" distB="0" distL="0" distR="0">
            <wp:extent cx="2886075" cy="3076575"/>
            <wp:effectExtent l="19050" t="0" r="9525" b="0"/>
            <wp:docPr id="2" name="Grafik 1" descr="berufs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ufsbil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51D" w:rsidRPr="00923F1F">
        <w:t xml:space="preserve">Berufsbild des </w:t>
      </w:r>
      <w:r w:rsidR="0045251D" w:rsidRPr="008D03A7">
        <w:t>Dipl</w:t>
      </w:r>
      <w:r w:rsidR="0045251D" w:rsidRPr="00923F1F">
        <w:t>. Techniker HF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 xml:space="preserve">Die Ausbildung zum Dipl. Techniker HF </w:t>
      </w:r>
      <w:r w:rsidR="008D03A7">
        <w:rPr>
          <w:rFonts w:asciiTheme="majorHAnsi" w:hAnsiTheme="majorHAnsi"/>
        </w:rPr>
        <w:t xml:space="preserve">(höhere Fachschule) </w:t>
      </w:r>
      <w:r w:rsidRPr="0045251D">
        <w:rPr>
          <w:rFonts w:asciiTheme="majorHAnsi" w:hAnsiTheme="majorHAnsi"/>
        </w:rPr>
        <w:t>ist im neuen Berufsbildungsgesetz verankert.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Der Dipl. Techniker HF nimmt eine Mittelstellung zwischen dem gelernten Berufsmann und dem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Fachhochschulabsolventen FH ein.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Er führt Arbeiten aus, welche jenen eines Fachhochschulabsolventen FH ähnlich sind, jedoch in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der Regel weniger komplexe Aufgabenstellungen beinhalten. Er verfügt über die praktischen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Erfahrungen eines Berufsmannes, gekoppelt mit vertieftem technischem Wissen.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Der Dipl. Techniker HF leistet am Arbeitsplatz - entsprechend seiner Fachrichtung - einzeln oder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im Team wesentliche Beiträge zum Unternehmenserfolg. Sein Aufgabengebiet liegt vorzugsweise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in Betrieben und Dienstleistungssektoren der Wirtschaft und Industrie.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Der Dipl. Techniker HF löst die ihm übertragenen Arbeiten systematisch, wirtschaftlich und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selbstkritisch. Er arbeitet mit anderen Fachleuten zusammen und passt durch zielbewusste,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ständige Weiterbildung seine Kenntnisse dem fortschreitenden Entwicklungsstand der Technik an.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Er ist kreativ und zieht aus seinem Wissen die zur Problemlösung notwendigen Schlüsse. Er kann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Mitarbeiter fachlich anleiten und betreuen.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Gut qualifizierte Dipl. Techniker HF haben reelle Chancen, in eine Kaderfunktion hineinzuwachsen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oder mit einem Nachdiplomstudium ganze Unternehmungen erfolgreich zu führen.</w:t>
      </w:r>
    </w:p>
    <w:p w:rsidR="0045251D" w:rsidRPr="0045251D" w:rsidRDefault="0045251D" w:rsidP="00F12F65">
      <w:pPr>
        <w:pStyle w:val="berschrift1"/>
      </w:pPr>
      <w:r w:rsidRPr="0045251D">
        <w:t>Ganzheitliche Qualifizierung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Die Rahmenbedingungen vieler Dienstleistungs- und Industriebetriebe haben sich in den letzten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Jahren drastisch verändert. Aus den Anbieter- sind Kundenmärkte in einer globalisierten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Wirtschaft geworden. Die Lebenszyklen der Produkte haben sich enorm reduziert. Die meisten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Betriebe produzieren nicht mehr Standarderzeugnisse in Massen, sondern entwickeln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kundenspezifische und komplexe Produkte, die vermehrt flexibel und kundengerecht angeboten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werden. Gefragt sind immer mehr immaterielle Leistungen wie Beratung, Engineering, Software,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Service, Dokumentation, Prozessunterstützung und Logistikleistungen.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Das wichtigste Erfolgs</w:t>
      </w:r>
      <w:r w:rsidR="009C1BA4">
        <w:rPr>
          <w:rFonts w:asciiTheme="majorHAnsi" w:hAnsiTheme="majorHAnsi"/>
        </w:rPr>
        <w:t>po</w:t>
      </w:r>
      <w:r w:rsidRPr="0045251D">
        <w:rPr>
          <w:rFonts w:asciiTheme="majorHAnsi" w:hAnsiTheme="majorHAnsi"/>
        </w:rPr>
        <w:t>tential ist jedoch die Kundenorientierung auf allen Ebenen eines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Unternehmens. Unternehmen, die mit diesem Wandel in Wirtschaft und Gesellschaft mithalten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wollen, müssen ihre Kernkompetenzen dauernd weiterentwickeln. Das bedeutet, dass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lastRenderedPageBreak/>
        <w:t>Weiterbildungsangebote nicht mehr Wissen auf Vorrat schaffen, sondern in erster Linie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Problemlösungskompetenz vermitteln sollen.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Nur Dank solcher Aus- und Weiterbildung sind die Absolventen darauf vorbereitet, in innovativen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Unternehmen einen wertvollen Beitrag zu leisten. Diese Unternehmen sind in der Lage, ihre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Produkte den Anforderungen der Kunden anzupassen.</w:t>
      </w:r>
    </w:p>
    <w:p w:rsidR="0045251D" w:rsidRPr="0045251D" w:rsidRDefault="0045251D" w:rsidP="00F12F65">
      <w:pPr>
        <w:pStyle w:val="berschrift1"/>
      </w:pPr>
      <w:r w:rsidRPr="0045251D">
        <w:t>Zielpublikum/Aufnahmebedingungen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Als Studierende werden Damen und Herren aus Dienstleistungsbetrieben, Industrie und anderen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Wirtschaftsbereichen aufgenommen, sofern sie sich über eine abgeschlossene Berufslehre in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einschlägiger Richtung des angestrebten Bildungsganges oder gleichwertige Kenntnisse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ausweisen können. Für die Aufnahme wird mindestens ein Jahr Praxis im Lehrberuf oder im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Fachgebiet der angestrebten Fachrichtung empfohlen. In der Regel wird keine Aufnahmeprüfung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durchgeführt. Das erste Semester gilt als Probesemester. Die Studierenden haben eine der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Fachrichtung entsprechende Berufstätigkeit nachzuweisen. Über die Aufnahme entscheidet die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Schulleitung. Der Eintritt in das 1. Semester erfolgt auf Schuljahresbeginn Mitte Oktober.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Interessenten, die keine Berufsmittelschule absolviert haben bzw. deren Lehrabschluss mehrere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Jahre zurückliegt, empfehlen wir zur Vorbereitung den Vorbereitungskurs Mathematik-Grundlagen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zu besuchen (weitere Info siehe unter Kurse).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Interessenten der Fachrichtungen Betriebstechnik, Logistik, Informatik und Systemtechnik mit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geringen Englisch-Vorkenntnissen empfehlen wir den Vorbereitungskurs Englisch zu besuchen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(weitere Info siehe unter Kurse).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Ein Internet-Account Zuhause oder am Arbeitsplatz ist für das Studium unabdingbar. Es wird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erwartet, dass die Studierenden über E-Mail erreichbar sind. Es wird ein Laptop benötigt. Die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erforderliche Spezifikation orientiert sich am jeweiligen Stand der Technik.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Der Eintritt in ein höheres Semester ist möglich, sofern genügend Studienplätze vorhanden sind.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Die erforderlichen Kenntnisse müssen durch Zeugnisse nachgewiesen werden und es erfolgt eine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persönliche Abklärung.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Neben den regulär Studierenden mit dem Ausbildungsziel Dipl. Techniker HF, können bei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entsprechender Vorbildung und soweit Studienplätze vorhanden sind, auch Fachhörer, die nur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einzelne Fächer belegen, aufgenommen werden.</w:t>
      </w:r>
    </w:p>
    <w:p w:rsidR="0045251D" w:rsidRPr="0045251D" w:rsidRDefault="0045251D" w:rsidP="00F12F65">
      <w:pPr>
        <w:pStyle w:val="berschrift1"/>
      </w:pPr>
      <w:r w:rsidRPr="0045251D">
        <w:t>Ausbildung</w:t>
      </w:r>
    </w:p>
    <w:p w:rsidR="009C1BA4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Diese dauert insgesamt drei Jahre und erfolgt an einer berufsbegleitenden Tagesschule. Während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 xml:space="preserve">der ersten drei Semester </w:t>
      </w:r>
      <w:proofErr w:type="gramStart"/>
      <w:r w:rsidRPr="0045251D">
        <w:rPr>
          <w:rFonts w:asciiTheme="majorHAnsi" w:hAnsiTheme="majorHAnsi"/>
        </w:rPr>
        <w:t>wird</w:t>
      </w:r>
      <w:proofErr w:type="gramEnd"/>
      <w:r w:rsidRPr="0045251D">
        <w:rPr>
          <w:rFonts w:asciiTheme="majorHAnsi" w:hAnsiTheme="majorHAnsi"/>
        </w:rPr>
        <w:t xml:space="preserve"> eine fundierte Allgemeinbildung und eine fachrichtungsspezifische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Grundlagenausbildung vermittelt, die mit dem Vordiplom abschliesst.</w:t>
      </w:r>
      <w:r w:rsidR="00F12F65">
        <w:rPr>
          <w:rFonts w:asciiTheme="majorHAnsi" w:hAnsiTheme="majorHAnsi"/>
        </w:rPr>
        <w:t xml:space="preserve"> 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Die darauf aufbauende Fachausbildung in einer der Richtungen Betriebstechnik, Logistik,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Energietechnik, Konstruktionstechnik, Informatik oder Systemtechnik dauert ebenfalls drei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Semester.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Anhand von prozessorientiertem Unterricht verbunden mit Übungen, Praktika und Semesterarbeiten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vertieft der angehende Dipl. Techniker HF seine Studien in der gewählten Fachrichtung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und schliesst auf diesem Gebiet mit der praktischen und mündlichen Diplomprüfung ab.</w:t>
      </w:r>
    </w:p>
    <w:p w:rsidR="0045251D" w:rsidRPr="0045251D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Die praktische Diplomprüfung dauert 1 Woche und schliesst an das 6. Semester an. Die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mündliche Diplomprüfung erfolgt 2 - 3 Wochen später und dauert ca. ½ Tag.</w:t>
      </w:r>
    </w:p>
    <w:p w:rsidR="00083851" w:rsidRDefault="0045251D" w:rsidP="00F12F65">
      <w:pPr>
        <w:spacing w:after="120"/>
        <w:jc w:val="left"/>
        <w:rPr>
          <w:rFonts w:asciiTheme="majorHAnsi" w:hAnsiTheme="majorHAnsi"/>
        </w:rPr>
      </w:pPr>
      <w:r w:rsidRPr="0045251D">
        <w:rPr>
          <w:rFonts w:asciiTheme="majorHAnsi" w:hAnsiTheme="majorHAnsi"/>
        </w:rPr>
        <w:t>Am Ende eines jeden Semesters wird ein Zeugnis abgegeben, das über Promotion und Leistung</w:t>
      </w:r>
      <w:r w:rsidR="00F12F65">
        <w:rPr>
          <w:rFonts w:asciiTheme="majorHAnsi" w:hAnsiTheme="majorHAnsi"/>
        </w:rPr>
        <w:t xml:space="preserve"> </w:t>
      </w:r>
      <w:r w:rsidRPr="0045251D">
        <w:rPr>
          <w:rFonts w:asciiTheme="majorHAnsi" w:hAnsiTheme="majorHAnsi"/>
        </w:rPr>
        <w:t>Auskunft gibt.</w:t>
      </w:r>
    </w:p>
    <w:p w:rsidR="00F12F65" w:rsidRPr="00F12F65" w:rsidRDefault="00F12F65" w:rsidP="00B2383A">
      <w:pPr>
        <w:pStyle w:val="berschrift1"/>
        <w:keepNext w:val="0"/>
        <w:keepLines w:val="0"/>
      </w:pPr>
      <w:r w:rsidRPr="00F12F65">
        <w:lastRenderedPageBreak/>
        <w:t>Lernziele</w:t>
      </w:r>
    </w:p>
    <w:p w:rsidR="00F12F65" w:rsidRPr="00F12F65" w:rsidRDefault="00F12F65" w:rsidP="00B2383A">
      <w:pPr>
        <w:widowControl w:val="0"/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Lernziele basieren auf dem „Rahmenlehrplan Technik“ der Konferenz Höhere Fachschulen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Technik KHF-T, genehmigt durch das Bundesamt für Berufsbildung und Technologie BBT am 01.</w:t>
      </w:r>
      <w:r w:rsidR="00B2383A">
        <w:rPr>
          <w:rFonts w:asciiTheme="majorHAnsi" w:hAnsiTheme="majorHAnsi"/>
        </w:rPr>
        <w:t> </w:t>
      </w:r>
      <w:r w:rsidRPr="00F12F65">
        <w:rPr>
          <w:rFonts w:asciiTheme="majorHAnsi" w:hAnsiTheme="majorHAnsi"/>
        </w:rPr>
        <w:t>Jan</w:t>
      </w:r>
      <w:r w:rsidR="00B2383A">
        <w:rPr>
          <w:rFonts w:asciiTheme="majorHAnsi" w:hAnsiTheme="majorHAnsi"/>
        </w:rPr>
        <w:t>uar </w:t>
      </w:r>
      <w:r w:rsidRPr="00F12F65">
        <w:rPr>
          <w:rFonts w:asciiTheme="majorHAnsi" w:hAnsiTheme="majorHAnsi"/>
        </w:rPr>
        <w:t>2009 und der "Verordnung des EVD über Mindestvorschriften für die Anerkennung von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Bildungsgängen und Nachdiplomstudien der höheren Fachschulen", herausgegeben vom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Bundesamt für Berufsbildung und Technologie BBT am 11.</w:t>
      </w:r>
      <w:r w:rsidR="00B2383A">
        <w:rPr>
          <w:rFonts w:asciiTheme="majorHAnsi" w:hAnsiTheme="majorHAnsi"/>
        </w:rPr>
        <w:t> März </w:t>
      </w:r>
      <w:r w:rsidRPr="00F12F65">
        <w:rPr>
          <w:rFonts w:asciiTheme="majorHAnsi" w:hAnsiTheme="majorHAnsi"/>
        </w:rPr>
        <w:t>2005.</w:t>
      </w:r>
    </w:p>
    <w:p w:rsidR="00F12F65" w:rsidRPr="00F12F65" w:rsidRDefault="00F12F65" w:rsidP="00B2383A">
      <w:pPr>
        <w:widowControl w:val="0"/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Es werden Grundlagen in Allgemeinbildung, Fachwissen und gezielte, spezifische Kenntnisse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nach Ausbildungsrichtung unterrichtet. Eigeninitiative und Selbständigkeit werden gefördert.</w:t>
      </w:r>
    </w:p>
    <w:p w:rsidR="00F12F65" w:rsidRPr="00F12F65" w:rsidRDefault="00F12F65" w:rsidP="00B2383A">
      <w:pPr>
        <w:widowControl w:val="0"/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Vernetzungsfähigkeit zwischen den Lehrfächern sowie der Theorie und Praxis wird in allen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Bereichen vermittelt. Allgemeine Kompetenzen wie Lösungsfindung, Sozialkompetenz und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Organisation werden fachbereichsspezifisch sowie fachübergreifend vermittelt. Ebenfalls wollen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wir die sozialen, ethischen und ökologischen Aspekte im Sinne von Werten und Haltung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miteinbeziehen.</w:t>
      </w:r>
    </w:p>
    <w:p w:rsidR="00F12F65" w:rsidRPr="00F12F65" w:rsidRDefault="00F12F65" w:rsidP="00B2383A">
      <w:pPr>
        <w:widowControl w:val="0"/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Durch die Fähigkeit des vernetzten Denkens ist der Dipl. Techniker HF in der Lage, das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erworbene Wissen am Arbeitsplatz erfolgreich umzusetzen.</w:t>
      </w:r>
    </w:p>
    <w:p w:rsidR="00F12F65" w:rsidRPr="00F12F65" w:rsidRDefault="00F12F65" w:rsidP="009C1BA4">
      <w:pPr>
        <w:pStyle w:val="berschrift2"/>
      </w:pPr>
      <w:r w:rsidRPr="00F12F65">
        <w:t>Unterrichtsablauf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Jedes Schuljahr ist in zwei Semester von je 20 Unterrichtswochen unterteilt. Pro Woche werden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an 2 Halbtagen (1x Vormittag, 1x Nachmittag) je 6 Lektionen erteilt. Der Student benötigt zudem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 xml:space="preserve">täglich ca. 2 Stunden seiner Freizeit für Hausaufgaben, angeleitete Übungen und </w:t>
      </w:r>
      <w:proofErr w:type="spellStart"/>
      <w:r w:rsidRPr="00F12F65">
        <w:rPr>
          <w:rFonts w:asciiTheme="majorHAnsi" w:hAnsiTheme="majorHAnsi"/>
        </w:rPr>
        <w:t>Blended</w:t>
      </w:r>
      <w:proofErr w:type="spellEnd"/>
      <w:r w:rsidRPr="00F12F65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Learning. Ferner ist ein Teil der Laborübungen, Seminare und des Projektstudiums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(Semesterarbeit) ausserhalb der normalen Schulzeit zu erbringen. Die Schulferien sind zwischen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den Semestern sowie im Sommer und an Weihnachten vorgesehen.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Unterrichtsfächer werden im Klassenverband praxisorientiert erteilt, mittels Referaten,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Diskussionen und Gruppenarbeiten. Der Einsatz von Lernprogrammen, audiovisuellen Medien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 xml:space="preserve">und </w:t>
      </w:r>
      <w:proofErr w:type="spellStart"/>
      <w:r w:rsidRPr="00F12F65">
        <w:rPr>
          <w:rFonts w:asciiTheme="majorHAnsi" w:hAnsiTheme="majorHAnsi"/>
        </w:rPr>
        <w:t>Blended</w:t>
      </w:r>
      <w:proofErr w:type="spellEnd"/>
      <w:r w:rsidRPr="00F12F65">
        <w:rPr>
          <w:rFonts w:asciiTheme="majorHAnsi" w:hAnsiTheme="majorHAnsi"/>
        </w:rPr>
        <w:t>-Learning, ergänzen den Präsenz-Unterricht und insbesondere das Selbststudium.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Experimente und Laborversuche vertiefen die theoretischen Grundlagen.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Im Abschluss-Semester nimmt das Projektstudium - eine praktische, im Team zu lösende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Semesterarbeit - grossen Raum ein. Der Studierende lernt dabei sein Wissen praxisgerecht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anzuwenden. Er wird dazu angeleitet, systematisch, kosten- und terminbewusst auf ein Ziel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hinzuarbeiten. Die Projekte stammen i.d.R. von den Arbeitgebern unserer Studierenden und sind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echte Beiträge zum Erfo</w:t>
      </w:r>
      <w:r w:rsidR="00F6261D">
        <w:rPr>
          <w:rFonts w:asciiTheme="majorHAnsi" w:hAnsiTheme="majorHAnsi"/>
        </w:rPr>
        <w:t>l</w:t>
      </w:r>
      <w:r w:rsidRPr="00F12F65">
        <w:rPr>
          <w:rFonts w:asciiTheme="majorHAnsi" w:hAnsiTheme="majorHAnsi"/>
        </w:rPr>
        <w:t>g dieser Firmen und keine theoretischen Schulbeispiele.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Wissensvermittlung und Studienbetreuung werden durch erfahrene Fachleute sichergestellt.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Neben hauptamtlichen Lehrkräften unterrichten an der ABB Technikerschule über 100 in der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Praxis tätige, nebenamtliche Fachdozenten mit Hochschul- oder Fachhochschul-Abschluss. Die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Dozenten bringen die für ihren Lehrauftrag notwendige Qualifikation und Berufserfahrung mit.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Lehrmittel bestehen aus offiziellen Arbeitsunterlagen und Lehrbüchern sowie Lehrprogrammen,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die von der Schule abgegeben und verrechnet werden. Persönliche Hilfsmittel, wie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Schreibzeug, Rechner, Formelsammlungen, Ordner, leere Disketten und CD-R, WLAN fähiger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Laptop usw. sind von den Studierenden zu beschaffen.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EDV-Räume sind mit neuster Computertechnik und sämtliche Schulräume mit Netzanschluss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an allen Studienplätzen und mit interaktiven Präsentationssystemen ausgerüstet.</w:t>
      </w:r>
    </w:p>
    <w:p w:rsidR="00F12F65" w:rsidRPr="00F12F65" w:rsidRDefault="00F12F65" w:rsidP="00B2383A">
      <w:pPr>
        <w:pStyle w:val="berschrift1"/>
        <w:keepNext w:val="0"/>
        <w:keepLines w:val="0"/>
      </w:pPr>
      <w:r w:rsidRPr="00F12F65">
        <w:t>Unterrichtskonzept der Technikerschule</w:t>
      </w:r>
    </w:p>
    <w:p w:rsidR="00F12F65" w:rsidRPr="00F12F65" w:rsidRDefault="00F12F65" w:rsidP="00B2383A">
      <w:pPr>
        <w:pStyle w:val="berschrift2"/>
        <w:keepNext w:val="0"/>
        <w:keepLines w:val="0"/>
      </w:pPr>
      <w:r w:rsidRPr="00F12F65">
        <w:t>Prozessorientierte Wissensvermittlung (POW)</w:t>
      </w:r>
    </w:p>
    <w:p w:rsidR="00F12F65" w:rsidRPr="00F12F65" w:rsidRDefault="00F12F65" w:rsidP="00B2383A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Ein wesentlicher Trend, der die Entwicklung unserer Unternehmen in den nächsten Jahren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massgeblich bestimmen wird, ist die dramatische Verkürzung der Halbwertszeit des fachlichen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Wissens und damit der Innovationszyklen. Der ständigen Weiterentwicklung des Wissens wird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lastRenderedPageBreak/>
        <w:t>eine zentrale Stellung beim Aufbau von Wettbewerbsfähigkeit von Unternehmen zugemessen.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Das Gleiche gilt aber auch für jeden Bewerber am Arbeitsmarkt. Die Wirtschaft verlangt schon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heute von den Mitarbeitenden mehr und mehr die Fähigkeit, Probleme zu erkennen und diese im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Team, selbständig anzugehen.</w:t>
      </w:r>
    </w:p>
    <w:p w:rsidR="00F12F65" w:rsidRPr="00F12F65" w:rsidRDefault="00F12F65" w:rsidP="00B2383A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Diesem Trend trägt die Technikerschule durch das Unterrichtskonzept der</w:t>
      </w:r>
      <w:r>
        <w:rPr>
          <w:rFonts w:asciiTheme="majorHAnsi" w:hAnsiTheme="majorHAnsi"/>
        </w:rPr>
        <w:t xml:space="preserve"> </w:t>
      </w:r>
      <w:r w:rsidR="00B2383A">
        <w:rPr>
          <w:rFonts w:asciiTheme="majorHAnsi" w:hAnsiTheme="majorHAnsi"/>
        </w:rPr>
        <w:t>«</w:t>
      </w:r>
      <w:r w:rsidRPr="00B2383A">
        <w:rPr>
          <w:rFonts w:asciiTheme="majorHAnsi" w:hAnsiTheme="majorHAnsi"/>
          <w:bCs/>
        </w:rPr>
        <w:t>Prozessorientierten Wissensvermittlung (POW)</w:t>
      </w:r>
      <w:r w:rsidR="00B2383A">
        <w:rPr>
          <w:rFonts w:asciiTheme="majorHAnsi" w:hAnsiTheme="majorHAnsi"/>
          <w:bCs/>
        </w:rPr>
        <w:t>»</w:t>
      </w:r>
      <w:r w:rsidRPr="00F12F65">
        <w:rPr>
          <w:rFonts w:asciiTheme="majorHAnsi" w:hAnsiTheme="majorHAnsi"/>
          <w:b/>
          <w:bCs/>
        </w:rPr>
        <w:t xml:space="preserve"> </w:t>
      </w:r>
      <w:r w:rsidRPr="00F12F65">
        <w:rPr>
          <w:rFonts w:asciiTheme="majorHAnsi" w:hAnsiTheme="majorHAnsi"/>
        </w:rPr>
        <w:t>Rechnung.</w:t>
      </w:r>
    </w:p>
    <w:p w:rsidR="00F12F65" w:rsidRPr="00F12F65" w:rsidRDefault="00F12F65" w:rsidP="009C1BA4">
      <w:pPr>
        <w:pStyle w:val="berschrift2"/>
      </w:pPr>
      <w:r w:rsidRPr="00F12F65">
        <w:t>Zielsetzung: die Studierenden</w:t>
      </w:r>
    </w:p>
    <w:p w:rsidR="00F12F65" w:rsidRPr="009C1BA4" w:rsidRDefault="00F12F65" w:rsidP="009C1BA4">
      <w:pPr>
        <w:pStyle w:val="Listenabsatz"/>
        <w:numPr>
          <w:ilvl w:val="0"/>
          <w:numId w:val="1"/>
        </w:numPr>
        <w:spacing w:after="120"/>
        <w:ind w:left="357" w:hanging="357"/>
        <w:jc w:val="left"/>
        <w:rPr>
          <w:rFonts w:asciiTheme="majorHAnsi" w:hAnsiTheme="majorHAnsi"/>
        </w:rPr>
      </w:pPr>
      <w:r w:rsidRPr="009C1BA4">
        <w:rPr>
          <w:rFonts w:asciiTheme="majorHAnsi" w:hAnsiTheme="majorHAnsi"/>
        </w:rPr>
        <w:t>müssen sich auf ein breites Grundwissen abstützen können</w:t>
      </w:r>
    </w:p>
    <w:p w:rsidR="00F12F65" w:rsidRPr="009C1BA4" w:rsidRDefault="00F12F65" w:rsidP="009C1BA4">
      <w:pPr>
        <w:pStyle w:val="Listenabsatz"/>
        <w:numPr>
          <w:ilvl w:val="0"/>
          <w:numId w:val="1"/>
        </w:numPr>
        <w:spacing w:after="120"/>
        <w:ind w:left="357" w:hanging="357"/>
        <w:jc w:val="left"/>
        <w:rPr>
          <w:rFonts w:asciiTheme="majorHAnsi" w:hAnsiTheme="majorHAnsi"/>
        </w:rPr>
      </w:pPr>
      <w:r w:rsidRPr="009C1BA4">
        <w:rPr>
          <w:rFonts w:asciiTheme="majorHAnsi" w:hAnsiTheme="majorHAnsi"/>
        </w:rPr>
        <w:t>müssen nach wie vor ein hervorragendes Fachwissen besitzen</w:t>
      </w:r>
    </w:p>
    <w:p w:rsidR="00F12F65" w:rsidRPr="009C1BA4" w:rsidRDefault="00F12F65" w:rsidP="009C1BA4">
      <w:pPr>
        <w:pStyle w:val="Listenabsatz"/>
        <w:numPr>
          <w:ilvl w:val="0"/>
          <w:numId w:val="1"/>
        </w:numPr>
        <w:spacing w:after="120"/>
        <w:ind w:left="357" w:hanging="357"/>
        <w:jc w:val="left"/>
        <w:rPr>
          <w:rFonts w:asciiTheme="majorHAnsi" w:hAnsiTheme="majorHAnsi"/>
        </w:rPr>
      </w:pPr>
      <w:r w:rsidRPr="009C1BA4">
        <w:rPr>
          <w:rFonts w:asciiTheme="majorHAnsi" w:hAnsiTheme="majorHAnsi"/>
        </w:rPr>
        <w:t>müssen in erster Linie Problemlösungskompetenz vermittelt bekommen</w:t>
      </w:r>
    </w:p>
    <w:p w:rsidR="00F12F65" w:rsidRPr="009C1BA4" w:rsidRDefault="00F12F65" w:rsidP="009C1BA4">
      <w:pPr>
        <w:pStyle w:val="Listenabsatz"/>
        <w:numPr>
          <w:ilvl w:val="0"/>
          <w:numId w:val="1"/>
        </w:numPr>
        <w:spacing w:after="120"/>
        <w:ind w:left="357" w:hanging="357"/>
        <w:jc w:val="left"/>
        <w:rPr>
          <w:rFonts w:asciiTheme="majorHAnsi" w:hAnsiTheme="majorHAnsi"/>
        </w:rPr>
      </w:pPr>
      <w:r w:rsidRPr="009C1BA4">
        <w:rPr>
          <w:rFonts w:asciiTheme="majorHAnsi" w:hAnsiTheme="majorHAnsi"/>
        </w:rPr>
        <w:t>benötigen eine hervorragende Sozialkompetenz</w:t>
      </w:r>
    </w:p>
    <w:p w:rsidR="00F12F65" w:rsidRPr="009C1BA4" w:rsidRDefault="00F12F65" w:rsidP="009C1BA4">
      <w:pPr>
        <w:pStyle w:val="Listenabsatz"/>
        <w:numPr>
          <w:ilvl w:val="0"/>
          <w:numId w:val="1"/>
        </w:numPr>
        <w:spacing w:after="120"/>
        <w:ind w:left="357" w:hanging="357"/>
        <w:jc w:val="left"/>
        <w:rPr>
          <w:rFonts w:asciiTheme="majorHAnsi" w:hAnsiTheme="majorHAnsi"/>
        </w:rPr>
      </w:pPr>
      <w:r w:rsidRPr="009C1BA4">
        <w:rPr>
          <w:rFonts w:asciiTheme="majorHAnsi" w:hAnsiTheme="majorHAnsi"/>
        </w:rPr>
        <w:t>müssen vom passiven zum aktiven Verhalten motiviert werden</w:t>
      </w:r>
    </w:p>
    <w:p w:rsidR="00F12F65" w:rsidRP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Die Wissensvermittlung erfolgt anhand einer "Leitenden Aufgabenstellung" (LA). Die LA ist ein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Projekt – bestehend aus Teilprojekten/Teilaufgaben (TAs) – welches sich z.</w:t>
      </w:r>
      <w:r w:rsidR="00B2383A">
        <w:rPr>
          <w:rFonts w:asciiTheme="majorHAnsi" w:hAnsiTheme="majorHAnsi"/>
        </w:rPr>
        <w:t> </w:t>
      </w:r>
      <w:r w:rsidRPr="00F12F65">
        <w:rPr>
          <w:rFonts w:asciiTheme="majorHAnsi" w:hAnsiTheme="majorHAnsi"/>
        </w:rPr>
        <w:t>T. über mehrere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Semester erstreckt. Die Aufgabenstellung ist fächerübergreifend. Sie ist als Gruppenarbeit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ausgelegt und bezieht das selbstgesteuerte Lernen als wesentliches Element der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Wissensvermittlung mit ein. POW nimmt in den höheren Sem</w:t>
      </w:r>
      <w:r w:rsidR="00F6261D">
        <w:rPr>
          <w:rFonts w:asciiTheme="majorHAnsi" w:hAnsiTheme="majorHAnsi"/>
        </w:rPr>
        <w:t>e</w:t>
      </w:r>
      <w:r w:rsidRPr="00F12F65">
        <w:rPr>
          <w:rFonts w:asciiTheme="majorHAnsi" w:hAnsiTheme="majorHAnsi"/>
        </w:rPr>
        <w:t>stern einen zunehmenden Teil des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Unterrichtes ein.</w:t>
      </w:r>
    </w:p>
    <w:p w:rsidR="009C1BA4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Es wird die Fähigkeit gefördert, sich auch in Themen einzuarbeiten, die nicht explizit gelehrt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werden. Die LA wird jeweils mit einer "Standortbestimmung" SOB abgeschlossen. Mit der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Prozessorientierten Wissensvermittlung profitieren die Studierenden, neben dem eigentlichen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Unterricht, durch selbstgesteuertes Lernen und Erfahrungsaustausch mit den Team-Kollegen.</w:t>
      </w:r>
      <w:r>
        <w:rPr>
          <w:rFonts w:asciiTheme="majorHAnsi" w:hAnsiTheme="majorHAnsi"/>
        </w:rPr>
        <w:t xml:space="preserve"> </w:t>
      </w:r>
    </w:p>
    <w:p w:rsidR="00F12F65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Das Konzept der Prozessorientierten Wissensvermittlung POW wurde in Zusammenarbeit mit der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Universität Zürich entwickelt und durch eine Gruppe von Diplomandinnen und in einer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Doktorarbeit wissenschaftlich begleitet.</w:t>
      </w:r>
    </w:p>
    <w:p w:rsidR="00F12F65" w:rsidRPr="00F12F65" w:rsidRDefault="00F12F65" w:rsidP="00B2383A">
      <w:pPr>
        <w:spacing w:after="240"/>
        <w:jc w:val="lef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de-CH"/>
        </w:rPr>
        <w:drawing>
          <wp:inline distT="0" distB="0" distL="0" distR="0">
            <wp:extent cx="3724275" cy="2162175"/>
            <wp:effectExtent l="19050" t="0" r="9525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F65" w:rsidRPr="00F12F65" w:rsidRDefault="00F12F65" w:rsidP="00B2383A">
      <w:pPr>
        <w:pStyle w:val="berschrift2"/>
      </w:pPr>
      <w:r w:rsidRPr="00F12F65">
        <w:t>Schultage, Unterrichtszeiten</w:t>
      </w:r>
    </w:p>
    <w:p w:rsidR="00F12F65" w:rsidRPr="002D1DBB" w:rsidRDefault="00F12F65" w:rsidP="00F12F65">
      <w:pPr>
        <w:spacing w:after="120"/>
        <w:jc w:val="left"/>
        <w:rPr>
          <w:rFonts w:asciiTheme="majorHAnsi" w:hAnsiTheme="majorHAnsi"/>
        </w:rPr>
      </w:pPr>
      <w:r w:rsidRPr="00F12F65">
        <w:rPr>
          <w:rFonts w:asciiTheme="majorHAnsi" w:hAnsiTheme="majorHAnsi"/>
        </w:rPr>
        <w:t>Pro Woche werden an 2 Halbtagen (in der Regel 1x Vormittag, 1x Nachmittag) je 6 Lektionen</w:t>
      </w:r>
      <w:r>
        <w:rPr>
          <w:rFonts w:asciiTheme="majorHAnsi" w:hAnsiTheme="majorHAnsi"/>
        </w:rPr>
        <w:t xml:space="preserve"> </w:t>
      </w:r>
      <w:r w:rsidRPr="00F12F65">
        <w:rPr>
          <w:rFonts w:asciiTheme="majorHAnsi" w:hAnsiTheme="majorHAnsi"/>
        </w:rPr>
        <w:t>unterrichtet.</w:t>
      </w:r>
    </w:p>
    <w:sectPr w:rsidR="00F12F65" w:rsidRPr="002D1DBB" w:rsidSect="00FC3EF4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0046"/>
    <w:multiLevelType w:val="hybridMultilevel"/>
    <w:tmpl w:val="3EEC6C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1D"/>
    <w:rsid w:val="00083851"/>
    <w:rsid w:val="00112427"/>
    <w:rsid w:val="001E16F2"/>
    <w:rsid w:val="002D1DBB"/>
    <w:rsid w:val="003906B6"/>
    <w:rsid w:val="0045251D"/>
    <w:rsid w:val="004542F0"/>
    <w:rsid w:val="004B721B"/>
    <w:rsid w:val="005B1BD8"/>
    <w:rsid w:val="00643D68"/>
    <w:rsid w:val="00646092"/>
    <w:rsid w:val="0065429B"/>
    <w:rsid w:val="006C579E"/>
    <w:rsid w:val="00827257"/>
    <w:rsid w:val="00874960"/>
    <w:rsid w:val="008D03A7"/>
    <w:rsid w:val="00923F1F"/>
    <w:rsid w:val="009B6056"/>
    <w:rsid w:val="009C1BA4"/>
    <w:rsid w:val="009C2352"/>
    <w:rsid w:val="009E53C5"/>
    <w:rsid w:val="00A05245"/>
    <w:rsid w:val="00B2383A"/>
    <w:rsid w:val="00C02A05"/>
    <w:rsid w:val="00D24F41"/>
    <w:rsid w:val="00E62C37"/>
    <w:rsid w:val="00F12F65"/>
    <w:rsid w:val="00F2090D"/>
    <w:rsid w:val="00F6261D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C1BA4"/>
    <w:pPr>
      <w:keepNext/>
      <w:keepLines/>
      <w:spacing w:before="240"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D03A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03A7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12F6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12F6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1BA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646092"/>
    <w:pPr>
      <w:spacing w:line="240" w:lineRule="auto"/>
      <w:ind w:left="0" w:right="0"/>
      <w:jc w:val="left"/>
    </w:pPr>
    <w:rPr>
      <w:rFonts w:eastAsiaTheme="minorEastAsia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46092"/>
    <w:rPr>
      <w:rFonts w:eastAsiaTheme="minorEastAsi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F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C1BA4"/>
    <w:pPr>
      <w:keepNext/>
      <w:keepLines/>
      <w:spacing w:before="240"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D03A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03A7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12F6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12F6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1BA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646092"/>
    <w:pPr>
      <w:spacing w:line="240" w:lineRule="auto"/>
      <w:ind w:left="0" w:right="0"/>
      <w:jc w:val="left"/>
    </w:pPr>
    <w:rPr>
      <w:rFonts w:eastAsiaTheme="minorEastAsia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46092"/>
    <w:rPr>
      <w:rFonts w:eastAsiaTheme="minorEastAsi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F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Berufl. PC-Einsatz</dc:subject>
  <dc:creator>H. Gächter</dc:creator>
  <cp:lastModifiedBy>H. Gächter</cp:lastModifiedBy>
  <cp:revision>2</cp:revision>
  <dcterms:created xsi:type="dcterms:W3CDTF">2010-11-12T08:52:00Z</dcterms:created>
  <dcterms:modified xsi:type="dcterms:W3CDTF">2010-11-12T08:52:00Z</dcterms:modified>
</cp:coreProperties>
</file>