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DF" w:rsidRPr="002D3B22" w:rsidRDefault="00A305DF" w:rsidP="00A305DF">
      <w:pPr>
        <w:pStyle w:val="berschrift1"/>
        <w:rPr>
          <w:noProof/>
        </w:rPr>
      </w:pPr>
      <w:r>
        <w:rPr>
          <w:noProof/>
        </w:rPr>
        <w:t>Induktive Sensoren</w:t>
      </w:r>
    </w:p>
    <w:p w:rsidR="00A305DF" w:rsidRDefault="00A305DF" w:rsidP="00A305DF">
      <w:pPr>
        <w:spacing w:after="120"/>
        <w:rPr>
          <w:rFonts w:asciiTheme="majorHAnsi" w:hAnsiTheme="majorHAnsi"/>
          <w:noProof/>
        </w:rPr>
      </w:pPr>
      <w:r w:rsidRPr="002D3B22">
        <w:rPr>
          <w:rFonts w:asciiTheme="majorHAnsi" w:hAnsiTheme="majorHAnsi"/>
          <w:noProof/>
        </w:rPr>
        <w:t xml:space="preserve">erkennen </w:t>
      </w:r>
      <w:r w:rsidRPr="002D3B22">
        <w:rPr>
          <w:rFonts w:asciiTheme="majorHAnsi" w:hAnsiTheme="majorHAnsi"/>
          <w:b/>
          <w:bCs/>
          <w:noProof/>
        </w:rPr>
        <w:t>metallische</w:t>
      </w:r>
      <w:r>
        <w:rPr>
          <w:rFonts w:asciiTheme="majorHAnsi" w:hAnsiTheme="majorHAnsi"/>
          <w:noProof/>
        </w:rPr>
        <w:t xml:space="preserve"> Objekte</w:t>
      </w:r>
    </w:p>
    <w:p w:rsidR="00A305DF" w:rsidRDefault="00A305DF" w:rsidP="00A305DF">
      <w:pPr>
        <w:spacing w:after="120"/>
        <w:rPr>
          <w:rFonts w:asciiTheme="majorHAnsi" w:hAnsiTheme="majorHAnsi"/>
          <w:noProof/>
        </w:rPr>
      </w:pPr>
      <w:r w:rsidRPr="002D3B22">
        <w:rPr>
          <w:rFonts w:asciiTheme="majorHAnsi" w:hAnsiTheme="majorHAnsi"/>
          <w:b/>
          <w:bCs/>
          <w:noProof/>
        </w:rPr>
        <w:t>Fun</w:t>
      </w:r>
      <w:bookmarkStart w:id="0" w:name="_GoBack"/>
      <w:bookmarkEnd w:id="0"/>
      <w:r w:rsidRPr="002D3B22">
        <w:rPr>
          <w:rFonts w:asciiTheme="majorHAnsi" w:hAnsiTheme="majorHAnsi"/>
          <w:b/>
          <w:bCs/>
          <w:noProof/>
        </w:rPr>
        <w:t>ktionsprinzip</w:t>
      </w:r>
    </w:p>
    <w:p w:rsidR="00A305DF" w:rsidRPr="002D3B22" w:rsidRDefault="00A305DF" w:rsidP="00A305DF">
      <w:pPr>
        <w:spacing w:after="480"/>
        <w:jc w:val="left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  <w:lang w:eastAsia="de-CH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4230370</wp:posOffset>
            </wp:positionH>
            <wp:positionV relativeFrom="paragraph">
              <wp:posOffset>14605</wp:posOffset>
            </wp:positionV>
            <wp:extent cx="1600200" cy="1171575"/>
            <wp:effectExtent l="19050" t="0" r="0" b="0"/>
            <wp:wrapSquare wrapText="bothSides"/>
            <wp:docPr id="3" name="Bild 6" descr="http://www.trenka.co.at/images/produkte/static/InduktiverSens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renka.co.at/images/produkte/static/InduktiverSensor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3B22">
        <w:rPr>
          <w:rFonts w:asciiTheme="majorHAnsi" w:hAnsiTheme="majorHAnsi"/>
          <w:noProof/>
        </w:rPr>
        <w:t>Ein induktiver Näherungss</w:t>
      </w:r>
      <w:r>
        <w:rPr>
          <w:rFonts w:asciiTheme="majorHAnsi" w:hAnsiTheme="majorHAnsi"/>
          <w:noProof/>
        </w:rPr>
        <w:t>chalter arbeitet mit einem hoch</w:t>
      </w:r>
      <w:r w:rsidRPr="002D3B22">
        <w:rPr>
          <w:rFonts w:asciiTheme="majorHAnsi" w:hAnsiTheme="majorHAnsi"/>
          <w:noProof/>
        </w:rPr>
        <w:t>frequen</w:t>
      </w:r>
      <w:r>
        <w:rPr>
          <w:rFonts w:asciiTheme="majorHAnsi" w:hAnsiTheme="majorHAnsi"/>
          <w:noProof/>
        </w:rPr>
        <w:softHyphen/>
      </w:r>
      <w:r w:rsidRPr="002D3B22">
        <w:rPr>
          <w:rFonts w:asciiTheme="majorHAnsi" w:hAnsiTheme="majorHAnsi"/>
          <w:noProof/>
        </w:rPr>
        <w:t>ten Schwingkreis</w:t>
      </w:r>
      <w:r>
        <w:rPr>
          <w:rFonts w:asciiTheme="majorHAnsi" w:hAnsiTheme="majorHAnsi"/>
          <w:noProof/>
        </w:rPr>
        <w:t>.</w:t>
      </w:r>
      <w:r w:rsidRPr="002D3B22">
        <w:rPr>
          <w:rFonts w:asciiTheme="majorHAnsi" w:hAnsiTheme="majorHAnsi"/>
          <w:noProof/>
        </w:rPr>
        <w:t xml:space="preserve"> </w:t>
      </w:r>
      <w:r>
        <w:rPr>
          <w:rFonts w:asciiTheme="majorHAnsi" w:hAnsiTheme="majorHAnsi"/>
          <w:noProof/>
        </w:rPr>
        <w:t xml:space="preserve">Dieser </w:t>
      </w:r>
      <w:r w:rsidRPr="002D3B22">
        <w:rPr>
          <w:rFonts w:asciiTheme="majorHAnsi" w:hAnsiTheme="majorHAnsi"/>
          <w:noProof/>
        </w:rPr>
        <w:t xml:space="preserve">erzeugt mittels einer Spule an der aktiven Sensorfläche </w:t>
      </w:r>
      <w:r>
        <w:rPr>
          <w:rFonts w:asciiTheme="majorHAnsi" w:hAnsiTheme="majorHAnsi"/>
          <w:noProof/>
        </w:rPr>
        <w:t>ein elektromagnetisches Wechsel</w:t>
      </w:r>
      <w:r w:rsidRPr="002D3B22">
        <w:rPr>
          <w:rFonts w:asciiTheme="majorHAnsi" w:hAnsiTheme="majorHAnsi"/>
          <w:noProof/>
        </w:rPr>
        <w:t xml:space="preserve">feld. Nähert sich ein Metallgegenstand diesem Feld, so kommt es im Schwingkreis zu einer </w:t>
      </w:r>
      <w:r>
        <w:rPr>
          <w:rFonts w:asciiTheme="majorHAnsi" w:hAnsiTheme="majorHAnsi"/>
          <w:noProof/>
        </w:rPr>
        <w:t>D</w:t>
      </w:r>
      <w:r w:rsidRPr="002D3B22">
        <w:rPr>
          <w:rFonts w:asciiTheme="majorHAnsi" w:hAnsiTheme="majorHAnsi"/>
          <w:noProof/>
        </w:rPr>
        <w:t>ämpfung.</w:t>
      </w:r>
      <w:r>
        <w:rPr>
          <w:rFonts w:asciiTheme="majorHAnsi" w:hAnsiTheme="majorHAnsi"/>
          <w:noProof/>
        </w:rPr>
        <w:t xml:space="preserve"> </w:t>
      </w:r>
      <w:r w:rsidRPr="002D3B22">
        <w:rPr>
          <w:rFonts w:asciiTheme="majorHAnsi" w:hAnsiTheme="majorHAnsi"/>
          <w:noProof/>
        </w:rPr>
        <w:t xml:space="preserve">Überschreitet diese </w:t>
      </w:r>
      <w:r>
        <w:rPr>
          <w:rFonts w:asciiTheme="majorHAnsi" w:hAnsiTheme="majorHAnsi"/>
          <w:noProof/>
        </w:rPr>
        <w:t>D</w:t>
      </w:r>
      <w:r w:rsidRPr="002D3B22">
        <w:rPr>
          <w:rFonts w:asciiTheme="majorHAnsi" w:hAnsiTheme="majorHAnsi"/>
          <w:noProof/>
        </w:rPr>
        <w:t xml:space="preserve">ämpfung einen </w:t>
      </w:r>
      <w:r>
        <w:rPr>
          <w:rFonts w:asciiTheme="majorHAnsi" w:hAnsiTheme="majorHAnsi"/>
          <w:noProof/>
        </w:rPr>
        <w:t>Sollwert</w:t>
      </w:r>
      <w:r w:rsidRPr="002D3B22">
        <w:rPr>
          <w:rFonts w:asciiTheme="majorHAnsi" w:hAnsiTheme="majorHAnsi"/>
          <w:noProof/>
        </w:rPr>
        <w:t>,</w:t>
      </w:r>
      <w:r>
        <w:rPr>
          <w:rFonts w:asciiTheme="majorHAnsi" w:hAnsiTheme="majorHAnsi"/>
          <w:noProof/>
        </w:rPr>
        <w:t xml:space="preserve"> </w:t>
      </w:r>
      <w:r w:rsidRPr="002D3B22">
        <w:rPr>
          <w:rFonts w:asciiTheme="majorHAnsi" w:hAnsiTheme="majorHAnsi"/>
          <w:noProof/>
        </w:rPr>
        <w:t xml:space="preserve">wird ein Schaltsignal </w:t>
      </w:r>
      <w:r>
        <w:rPr>
          <w:rFonts w:asciiTheme="majorHAnsi" w:hAnsiTheme="majorHAnsi"/>
          <w:noProof/>
        </w:rPr>
        <w:t>erzeugt</w:t>
      </w:r>
      <w:r w:rsidR="007F5034">
        <w:rPr>
          <w:rFonts w:asciiTheme="majorHAnsi" w:hAnsiTheme="majorHAnsi"/>
          <w:noProof/>
        </w:rPr>
        <w:t>.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5956"/>
      </w:tblGrid>
      <w:tr w:rsidR="002D3B22" w:rsidRPr="002D3B22" w:rsidTr="00D3026D">
        <w:trPr>
          <w:trHeight w:val="2272"/>
        </w:trPr>
        <w:tc>
          <w:tcPr>
            <w:tcW w:w="3261" w:type="dxa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D3B22" w:rsidRPr="002D3B22" w:rsidRDefault="00622FF0" w:rsidP="00D3026D">
            <w:pPr>
              <w:jc w:val="right"/>
              <w:rPr>
                <w:rFonts w:asciiTheme="majorHAnsi" w:hAnsiTheme="majorHAnsi"/>
                <w:noProof/>
              </w:rPr>
            </w:pPr>
            <w:r>
              <w:rPr>
                <w:rFonts w:asciiTheme="majorHAnsi" w:hAnsiTheme="majorHAnsi"/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45.5pt;height:50.25pt" fillcolor="#06c" strokecolor="#9cf" strokeweight="1.5pt">
                  <v:shadow on="t" color="#900"/>
                  <v:textpath style="font-family:&quot;Impact&quot;;font-size:20pt;v-text-kern:t" trim="t" fitpath="t" string="Features"/>
                </v:shape>
              </w:pic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2D3B22" w:rsidRPr="002D3B22" w:rsidRDefault="002D3B22" w:rsidP="00A305DF">
            <w:pPr>
              <w:numPr>
                <w:ilvl w:val="0"/>
                <w:numId w:val="1"/>
              </w:numPr>
              <w:jc w:val="left"/>
              <w:rPr>
                <w:rFonts w:asciiTheme="majorHAnsi" w:hAnsiTheme="majorHAnsi"/>
                <w:noProof/>
              </w:rPr>
            </w:pPr>
            <w:r w:rsidRPr="002D3B22">
              <w:rPr>
                <w:rFonts w:asciiTheme="majorHAnsi" w:hAnsiTheme="majorHAnsi"/>
                <w:b/>
                <w:bCs/>
                <w:noProof/>
              </w:rPr>
              <w:t>Klimawechselfeste</w:t>
            </w:r>
            <w:r w:rsidRPr="002D3B22">
              <w:rPr>
                <w:rFonts w:asciiTheme="majorHAnsi" w:hAnsiTheme="majorHAnsi"/>
                <w:noProof/>
              </w:rPr>
              <w:t xml:space="preserve"> Sensoren für korrosive Umgebungen</w:t>
            </w:r>
          </w:p>
          <w:p w:rsidR="002D3B22" w:rsidRPr="002D3B22" w:rsidRDefault="002D3B22" w:rsidP="002D3B22">
            <w:pPr>
              <w:numPr>
                <w:ilvl w:val="0"/>
                <w:numId w:val="1"/>
              </w:numPr>
              <w:rPr>
                <w:rFonts w:asciiTheme="majorHAnsi" w:hAnsiTheme="majorHAnsi"/>
                <w:noProof/>
              </w:rPr>
            </w:pPr>
            <w:r w:rsidRPr="002D3B22">
              <w:rPr>
                <w:rFonts w:asciiTheme="majorHAnsi" w:hAnsiTheme="majorHAnsi"/>
                <w:b/>
                <w:bCs/>
                <w:noProof/>
              </w:rPr>
              <w:t>Hochtemperaturschalter</w:t>
            </w:r>
            <w:r w:rsidRPr="002D3B22">
              <w:rPr>
                <w:rFonts w:asciiTheme="majorHAnsi" w:hAnsiTheme="majorHAnsi"/>
                <w:noProof/>
              </w:rPr>
              <w:t xml:space="preserve"> - bis 200°C</w:t>
            </w:r>
          </w:p>
          <w:p w:rsidR="002D3B22" w:rsidRPr="002D3B22" w:rsidRDefault="002D3B22" w:rsidP="002D3B22">
            <w:pPr>
              <w:numPr>
                <w:ilvl w:val="0"/>
                <w:numId w:val="1"/>
              </w:numPr>
              <w:rPr>
                <w:rFonts w:asciiTheme="majorHAnsi" w:hAnsiTheme="majorHAnsi"/>
                <w:noProof/>
              </w:rPr>
            </w:pPr>
            <w:r w:rsidRPr="002D3B22">
              <w:rPr>
                <w:rFonts w:asciiTheme="majorHAnsi" w:hAnsiTheme="majorHAnsi"/>
                <w:noProof/>
              </w:rPr>
              <w:t xml:space="preserve">hohe Schaltabstände </w:t>
            </w:r>
            <w:r w:rsidRPr="002D3B22">
              <w:rPr>
                <w:rFonts w:asciiTheme="majorHAnsi" w:hAnsiTheme="majorHAnsi"/>
                <w:b/>
                <w:bCs/>
                <w:noProof/>
              </w:rPr>
              <w:t>bis 180mm</w:t>
            </w:r>
            <w:r w:rsidRPr="002D3B22">
              <w:rPr>
                <w:rFonts w:asciiTheme="majorHAnsi" w:hAnsiTheme="majorHAnsi"/>
                <w:noProof/>
              </w:rPr>
              <w:t>, programmierbar</w:t>
            </w:r>
          </w:p>
          <w:p w:rsidR="002D3B22" w:rsidRPr="002D3B22" w:rsidRDefault="002D3B22" w:rsidP="002D3B22">
            <w:pPr>
              <w:numPr>
                <w:ilvl w:val="0"/>
                <w:numId w:val="1"/>
              </w:numPr>
              <w:rPr>
                <w:rFonts w:asciiTheme="majorHAnsi" w:hAnsiTheme="majorHAnsi"/>
                <w:noProof/>
              </w:rPr>
            </w:pPr>
            <w:r w:rsidRPr="002D3B22">
              <w:rPr>
                <w:rFonts w:asciiTheme="majorHAnsi" w:hAnsiTheme="majorHAnsi"/>
                <w:b/>
                <w:bCs/>
                <w:noProof/>
              </w:rPr>
              <w:t>Flächensensoren</w:t>
            </w:r>
            <w:r w:rsidRPr="002D3B22">
              <w:rPr>
                <w:rFonts w:asciiTheme="majorHAnsi" w:hAnsiTheme="majorHAnsi"/>
                <w:noProof/>
              </w:rPr>
              <w:t xml:space="preserve"> bis 900x150mm</w:t>
            </w:r>
          </w:p>
          <w:p w:rsidR="002D3B22" w:rsidRPr="002D3B22" w:rsidRDefault="002D3B22" w:rsidP="002D3B22">
            <w:pPr>
              <w:numPr>
                <w:ilvl w:val="0"/>
                <w:numId w:val="1"/>
              </w:numPr>
              <w:rPr>
                <w:rFonts w:asciiTheme="majorHAnsi" w:hAnsiTheme="majorHAnsi"/>
                <w:noProof/>
              </w:rPr>
            </w:pPr>
            <w:r w:rsidRPr="002D3B22">
              <w:rPr>
                <w:rFonts w:asciiTheme="majorHAnsi" w:hAnsiTheme="majorHAnsi"/>
                <w:b/>
                <w:bCs/>
                <w:noProof/>
              </w:rPr>
              <w:t>Namur Sensoren</w:t>
            </w:r>
            <w:r w:rsidRPr="002D3B22">
              <w:rPr>
                <w:rFonts w:asciiTheme="majorHAnsi" w:hAnsiTheme="majorHAnsi"/>
                <w:noProof/>
              </w:rPr>
              <w:t xml:space="preserve"> nach DIN EN 60947 für Ex-Bereich</w:t>
            </w:r>
          </w:p>
          <w:p w:rsidR="002D3B22" w:rsidRPr="002D3B22" w:rsidRDefault="002D3B22" w:rsidP="002D3B22">
            <w:pPr>
              <w:numPr>
                <w:ilvl w:val="0"/>
                <w:numId w:val="1"/>
              </w:numPr>
              <w:rPr>
                <w:rFonts w:asciiTheme="majorHAnsi" w:hAnsiTheme="majorHAnsi"/>
                <w:noProof/>
              </w:rPr>
            </w:pPr>
            <w:r w:rsidRPr="002D3B22">
              <w:rPr>
                <w:rFonts w:asciiTheme="majorHAnsi" w:hAnsiTheme="majorHAnsi"/>
                <w:noProof/>
              </w:rPr>
              <w:t xml:space="preserve">Sensoren mit </w:t>
            </w:r>
            <w:r w:rsidRPr="002D3B22">
              <w:rPr>
                <w:rFonts w:asciiTheme="majorHAnsi" w:hAnsiTheme="majorHAnsi"/>
                <w:b/>
                <w:bCs/>
                <w:noProof/>
              </w:rPr>
              <w:t>Analogausgang</w:t>
            </w:r>
          </w:p>
          <w:p w:rsidR="002D3B22" w:rsidRPr="002D3B22" w:rsidRDefault="002D3B22" w:rsidP="002D3B22">
            <w:pPr>
              <w:numPr>
                <w:ilvl w:val="0"/>
                <w:numId w:val="1"/>
              </w:numPr>
              <w:rPr>
                <w:rFonts w:asciiTheme="majorHAnsi" w:hAnsiTheme="majorHAnsi"/>
                <w:noProof/>
              </w:rPr>
            </w:pPr>
            <w:r w:rsidRPr="002D3B22">
              <w:rPr>
                <w:rFonts w:asciiTheme="majorHAnsi" w:hAnsiTheme="majorHAnsi"/>
                <w:noProof/>
              </w:rPr>
              <w:t xml:space="preserve">Wasserdichte Ausführungen IP 68/69 </w:t>
            </w:r>
          </w:p>
        </w:tc>
      </w:tr>
    </w:tbl>
    <w:p w:rsidR="00083851" w:rsidRDefault="00083851" w:rsidP="002D1DBB">
      <w:pPr>
        <w:rPr>
          <w:rFonts w:asciiTheme="majorHAnsi" w:hAnsiTheme="majorHAnsi"/>
          <w:noProof/>
        </w:rPr>
      </w:pPr>
    </w:p>
    <w:p w:rsidR="00C145B9" w:rsidRDefault="00C145B9" w:rsidP="00C145B9">
      <w:pPr>
        <w:pStyle w:val="berschrift1"/>
        <w:rPr>
          <w:noProof/>
        </w:rPr>
      </w:pPr>
      <w:r>
        <w:rPr>
          <w:noProof/>
        </w:rPr>
        <w:t>Kapa</w:t>
      </w:r>
      <w:r w:rsidR="00CE6EE8">
        <w:rPr>
          <w:noProof/>
        </w:rPr>
        <w:t>t</w:t>
      </w:r>
      <w:r>
        <w:rPr>
          <w:noProof/>
        </w:rPr>
        <w:t>zitive Sensoren</w:t>
      </w:r>
    </w:p>
    <w:p w:rsidR="00C145B9" w:rsidRDefault="00C145B9" w:rsidP="00CE6EE8">
      <w:pPr>
        <w:jc w:val="left"/>
        <w:rPr>
          <w:rFonts w:asciiTheme="majorHAnsi" w:hAnsiTheme="majorHAnsi"/>
          <w:noProof/>
        </w:rPr>
      </w:pPr>
      <w:r w:rsidRPr="00C145B9">
        <w:rPr>
          <w:rFonts w:asciiTheme="majorHAnsi" w:hAnsiTheme="majorHAnsi"/>
          <w:noProof/>
        </w:rPr>
        <w:t>Bei einer Vielzahl von Geräten sind mech</w:t>
      </w:r>
      <w:r w:rsidR="00CE6EE8">
        <w:rPr>
          <w:rFonts w:asciiTheme="majorHAnsi" w:hAnsiTheme="majorHAnsi"/>
          <w:noProof/>
        </w:rPr>
        <w:t>s</w:t>
      </w:r>
      <w:r w:rsidRPr="00C145B9">
        <w:rPr>
          <w:rFonts w:asciiTheme="majorHAnsi" w:hAnsiTheme="majorHAnsi"/>
          <w:noProof/>
        </w:rPr>
        <w:t>nische Tasten problema</w:t>
      </w:r>
      <w:r w:rsidR="00CE6EE8">
        <w:rPr>
          <w:rFonts w:asciiTheme="majorHAnsi" w:hAnsiTheme="majorHAnsi"/>
          <w:noProof/>
        </w:rPr>
        <w:t>s</w:t>
      </w:r>
      <w:r w:rsidRPr="00C145B9">
        <w:rPr>
          <w:rFonts w:asciiTheme="majorHAnsi" w:hAnsiTheme="majorHAnsi"/>
          <w:noProof/>
        </w:rPr>
        <w:t>tisch. Gründe können die fehlende Dichtigkeit gegenüber Staub, Waser bzw. hoher Luftfeuchtigkeit sein. Ebenso ist ein geforderter Explosionschutz nur mit hohem Aufwand realisieren. Bei einigen Anwendungen sind Borungen und Durchbr</w:t>
      </w:r>
      <w:r w:rsidR="00CE6EE8">
        <w:rPr>
          <w:rFonts w:asciiTheme="majorHAnsi" w:hAnsiTheme="majorHAnsi"/>
          <w:noProof/>
        </w:rPr>
        <w:t>ue</w:t>
      </w:r>
      <w:r w:rsidRPr="00C145B9">
        <w:rPr>
          <w:rFonts w:asciiTheme="majorHAnsi" w:hAnsiTheme="majorHAnsi"/>
          <w:noProof/>
        </w:rPr>
        <w:t>che nicht möglich (z.</w:t>
      </w:r>
      <w:r>
        <w:rPr>
          <w:rFonts w:asciiTheme="majorHAnsi" w:hAnsiTheme="majorHAnsi"/>
          <w:noProof/>
        </w:rPr>
        <w:t> </w:t>
      </w:r>
      <w:r w:rsidRPr="00C145B9">
        <w:rPr>
          <w:rFonts w:asciiTheme="majorHAnsi" w:hAnsiTheme="majorHAnsi"/>
          <w:noProof/>
        </w:rPr>
        <w:t>B. Bedienung durch Schaufensterscheiben hindurch). Auch lassen sich herkömmliche Tastaturen nur mit hohem Aufwand vandalensicher realiseren. Kapazitive Taster und Tastenf</w:t>
      </w:r>
      <w:r w:rsidR="00CE6EE8">
        <w:rPr>
          <w:rFonts w:asciiTheme="majorHAnsi" w:hAnsiTheme="majorHAnsi"/>
          <w:noProof/>
        </w:rPr>
        <w:t>üll</w:t>
      </w:r>
      <w:r w:rsidRPr="00C145B9">
        <w:rPr>
          <w:rFonts w:asciiTheme="majorHAnsi" w:hAnsiTheme="majorHAnsi"/>
          <w:noProof/>
        </w:rPr>
        <w:t>er sind hier eine optimale Alternati</w:t>
      </w:r>
      <w:r w:rsidR="00CE6EE8">
        <w:rPr>
          <w:rFonts w:asciiTheme="majorHAnsi" w:hAnsiTheme="majorHAnsi"/>
          <w:noProof/>
        </w:rPr>
        <w:t>on</w:t>
      </w:r>
      <w:r w:rsidRPr="00C145B9">
        <w:rPr>
          <w:rFonts w:asciiTheme="majorHAnsi" w:hAnsiTheme="majorHAnsi"/>
          <w:noProof/>
        </w:rPr>
        <w:t xml:space="preserve">. </w:t>
      </w:r>
      <w:r>
        <w:rPr>
          <w:rFonts w:asciiTheme="majorHAnsi" w:hAnsiTheme="majorHAnsi"/>
          <w:noProof/>
        </w:rPr>
        <w:t>F</w:t>
      </w:r>
      <w:r w:rsidRPr="00C145B9">
        <w:rPr>
          <w:rFonts w:asciiTheme="majorHAnsi" w:hAnsiTheme="majorHAnsi"/>
          <w:noProof/>
        </w:rPr>
        <w:t xml:space="preserve">ür solche Anwendungen </w:t>
      </w:r>
      <w:r>
        <w:rPr>
          <w:rFonts w:asciiTheme="majorHAnsi" w:hAnsiTheme="majorHAnsi"/>
          <w:noProof/>
        </w:rPr>
        <w:t xml:space="preserve">sind </w:t>
      </w:r>
      <w:r w:rsidRPr="00C145B9">
        <w:rPr>
          <w:rFonts w:asciiTheme="majorHAnsi" w:hAnsiTheme="majorHAnsi"/>
          <w:noProof/>
        </w:rPr>
        <w:t xml:space="preserve">geeignete Schaltkreise </w:t>
      </w:r>
      <w:r>
        <w:rPr>
          <w:rFonts w:asciiTheme="majorHAnsi" w:hAnsiTheme="majorHAnsi"/>
          <w:noProof/>
        </w:rPr>
        <w:t>(ICs) verfügbar</w:t>
      </w:r>
      <w:r w:rsidRPr="00C145B9">
        <w:rPr>
          <w:rFonts w:asciiTheme="majorHAnsi" w:hAnsiTheme="majorHAnsi"/>
          <w:noProof/>
        </w:rPr>
        <w:t xml:space="preserve">. Je nach Einstellung der </w:t>
      </w:r>
      <w:r>
        <w:rPr>
          <w:rFonts w:asciiTheme="majorHAnsi" w:hAnsiTheme="majorHAnsi"/>
          <w:noProof/>
        </w:rPr>
        <w:t>Schaltungsparameter sind die IC</w:t>
      </w:r>
      <w:r w:rsidRPr="00C145B9">
        <w:rPr>
          <w:rFonts w:asciiTheme="majorHAnsi" w:hAnsiTheme="majorHAnsi"/>
          <w:noProof/>
        </w:rPr>
        <w:t>s auch al</w:t>
      </w:r>
      <w:r>
        <w:rPr>
          <w:rFonts w:asciiTheme="majorHAnsi" w:hAnsiTheme="majorHAnsi"/>
          <w:noProof/>
        </w:rPr>
        <w:t>s Näherungsschalter einsetzbar.</w:t>
      </w:r>
      <w:r>
        <w:rPr>
          <w:rFonts w:asciiTheme="majorHAnsi" w:hAnsiTheme="majorHAnsi"/>
          <w:noProof/>
          <w:lang w:eastAsia="de-CH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4058920</wp:posOffset>
            </wp:positionH>
            <wp:positionV relativeFrom="paragraph">
              <wp:posOffset>17145</wp:posOffset>
            </wp:positionV>
            <wp:extent cx="1762125" cy="1733550"/>
            <wp:effectExtent l="19050" t="0" r="9525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5B9" w:rsidRPr="00C145B9" w:rsidRDefault="00C145B9" w:rsidP="00C145B9">
      <w:pPr>
        <w:rPr>
          <w:rFonts w:asciiTheme="majorHAnsi" w:hAnsiTheme="majorHAnsi"/>
          <w:noProof/>
        </w:rPr>
      </w:pPr>
    </w:p>
    <w:p w:rsidR="00A61FCF" w:rsidRPr="00C145B9" w:rsidRDefault="00A61FCF" w:rsidP="00C145B9">
      <w:pPr>
        <w:rPr>
          <w:rFonts w:asciiTheme="majorHAnsi" w:hAnsiTheme="majorHAnsi"/>
          <w:noProof/>
        </w:rPr>
      </w:pPr>
      <w:r w:rsidRPr="00C145B9">
        <w:rPr>
          <w:rFonts w:asciiTheme="majorHAnsi" w:hAnsiTheme="majorHAnsi"/>
          <w:b/>
          <w:bCs/>
          <w:noProof/>
        </w:rPr>
        <w:t>Anwe</w:t>
      </w:r>
      <w:r>
        <w:rPr>
          <w:rFonts w:asciiTheme="majorHAnsi" w:hAnsiTheme="majorHAnsi"/>
          <w:b/>
          <w:bCs/>
          <w:noProof/>
        </w:rPr>
        <w:t>m</w:t>
      </w:r>
      <w:r w:rsidRPr="00C145B9">
        <w:rPr>
          <w:rFonts w:asciiTheme="majorHAnsi" w:hAnsiTheme="majorHAnsi"/>
          <w:b/>
          <w:bCs/>
          <w:noProof/>
        </w:rPr>
        <w:t>dungen:</w:t>
      </w:r>
    </w:p>
    <w:p w:rsidR="00A61FCF" w:rsidRPr="00C145B9" w:rsidRDefault="00A61FCF" w:rsidP="00C145B9">
      <w:pPr>
        <w:numPr>
          <w:ilvl w:val="0"/>
          <w:numId w:val="1"/>
        </w:numPr>
        <w:jc w:val="left"/>
        <w:rPr>
          <w:rFonts w:asciiTheme="majorHAnsi" w:hAnsiTheme="majorHAnsi"/>
          <w:bCs/>
          <w:noProof/>
        </w:rPr>
      </w:pPr>
      <w:r w:rsidRPr="00C145B9">
        <w:rPr>
          <w:rFonts w:asciiTheme="majorHAnsi" w:hAnsiTheme="majorHAnsi"/>
          <w:bCs/>
          <w:noProof/>
        </w:rPr>
        <w:t>wasser- und stau</w:t>
      </w:r>
      <w:r>
        <w:rPr>
          <w:rFonts w:asciiTheme="majorHAnsi" w:hAnsiTheme="majorHAnsi"/>
          <w:bCs/>
          <w:noProof/>
        </w:rPr>
        <w:t>p</w:t>
      </w:r>
      <w:r w:rsidRPr="00C145B9">
        <w:rPr>
          <w:rFonts w:asciiTheme="majorHAnsi" w:hAnsiTheme="majorHAnsi"/>
          <w:bCs/>
          <w:noProof/>
        </w:rPr>
        <w:t>dichte Berührungstaser mit hohem Schutzgrad</w:t>
      </w:r>
      <w:r>
        <w:rPr>
          <w:rFonts w:asciiTheme="majorHAnsi" w:hAnsiTheme="majorHAnsi"/>
          <w:bCs/>
          <w:noProof/>
        </w:rPr>
        <w:t>ient</w:t>
      </w:r>
    </w:p>
    <w:p w:rsidR="00A61FCF" w:rsidRPr="00C145B9" w:rsidRDefault="00A61FCF" w:rsidP="00C145B9">
      <w:pPr>
        <w:numPr>
          <w:ilvl w:val="0"/>
          <w:numId w:val="1"/>
        </w:numPr>
        <w:jc w:val="left"/>
        <w:rPr>
          <w:rFonts w:asciiTheme="majorHAnsi" w:hAnsiTheme="majorHAnsi"/>
          <w:bCs/>
          <w:noProof/>
        </w:rPr>
      </w:pPr>
      <w:r w:rsidRPr="00C145B9">
        <w:rPr>
          <w:rFonts w:asciiTheme="majorHAnsi" w:hAnsiTheme="majorHAnsi"/>
          <w:bCs/>
          <w:noProof/>
        </w:rPr>
        <w:t>vandal</w:t>
      </w:r>
      <w:r>
        <w:rPr>
          <w:rFonts w:asciiTheme="majorHAnsi" w:hAnsiTheme="majorHAnsi"/>
          <w:bCs/>
          <w:noProof/>
        </w:rPr>
        <w:t>l</w:t>
      </w:r>
      <w:r w:rsidR="007F5034">
        <w:rPr>
          <w:rFonts w:asciiTheme="majorHAnsi" w:hAnsiTheme="majorHAnsi"/>
          <w:bCs/>
          <w:noProof/>
        </w:rPr>
        <w:t>ensichere Tastaturen</w:t>
      </w:r>
    </w:p>
    <w:p w:rsidR="00A61FCF" w:rsidRPr="00C145B9" w:rsidRDefault="007F5034" w:rsidP="00C145B9">
      <w:pPr>
        <w:numPr>
          <w:ilvl w:val="0"/>
          <w:numId w:val="1"/>
        </w:numPr>
        <w:jc w:val="left"/>
        <w:rPr>
          <w:rFonts w:asciiTheme="majorHAnsi" w:hAnsiTheme="majorHAnsi"/>
          <w:bCs/>
          <w:noProof/>
        </w:rPr>
      </w:pPr>
      <w:r>
        <w:rPr>
          <w:rFonts w:asciiTheme="majorHAnsi" w:hAnsiTheme="majorHAnsi"/>
          <w:bCs/>
          <w:noProof/>
        </w:rPr>
        <w:t>Alarmanlagen</w:t>
      </w:r>
    </w:p>
    <w:p w:rsidR="00A61FCF" w:rsidRPr="00C145B9" w:rsidRDefault="007F5034" w:rsidP="00C145B9">
      <w:pPr>
        <w:numPr>
          <w:ilvl w:val="0"/>
          <w:numId w:val="1"/>
        </w:numPr>
        <w:jc w:val="left"/>
        <w:rPr>
          <w:rFonts w:asciiTheme="majorHAnsi" w:hAnsiTheme="majorHAnsi"/>
          <w:bCs/>
          <w:noProof/>
        </w:rPr>
      </w:pPr>
      <w:r>
        <w:rPr>
          <w:rFonts w:asciiTheme="majorHAnsi" w:hAnsiTheme="majorHAnsi"/>
          <w:bCs/>
          <w:noProof/>
        </w:rPr>
        <w:t>Näherungsschalter</w:t>
      </w:r>
    </w:p>
    <w:p w:rsidR="00A61FCF" w:rsidRPr="00C145B9" w:rsidRDefault="00A61FCF" w:rsidP="00C145B9">
      <w:pPr>
        <w:numPr>
          <w:ilvl w:val="0"/>
          <w:numId w:val="1"/>
        </w:numPr>
        <w:jc w:val="left"/>
        <w:rPr>
          <w:rFonts w:asciiTheme="majorHAnsi" w:hAnsiTheme="majorHAnsi"/>
          <w:bCs/>
          <w:noProof/>
        </w:rPr>
      </w:pPr>
      <w:r w:rsidRPr="00C145B9">
        <w:rPr>
          <w:rFonts w:asciiTheme="majorHAnsi" w:hAnsiTheme="majorHAnsi"/>
          <w:bCs/>
          <w:noProof/>
        </w:rPr>
        <w:t>Füll</w:t>
      </w:r>
      <w:r>
        <w:rPr>
          <w:rFonts w:asciiTheme="majorHAnsi" w:hAnsiTheme="majorHAnsi"/>
          <w:bCs/>
          <w:noProof/>
        </w:rPr>
        <w:t>ungs</w:t>
      </w:r>
      <w:r w:rsidR="007F5034">
        <w:rPr>
          <w:rFonts w:asciiTheme="majorHAnsi" w:hAnsiTheme="majorHAnsi"/>
          <w:bCs/>
          <w:noProof/>
        </w:rPr>
        <w:t>standsüberwachung</w:t>
      </w:r>
    </w:p>
    <w:p w:rsidR="00A61FCF" w:rsidRPr="00C145B9" w:rsidRDefault="00A61FCF" w:rsidP="00C145B9">
      <w:pPr>
        <w:numPr>
          <w:ilvl w:val="0"/>
          <w:numId w:val="1"/>
        </w:numPr>
        <w:jc w:val="left"/>
        <w:rPr>
          <w:rFonts w:asciiTheme="majorHAnsi" w:hAnsiTheme="majorHAnsi"/>
          <w:noProof/>
        </w:rPr>
      </w:pPr>
      <w:r w:rsidRPr="00C145B9">
        <w:rPr>
          <w:rFonts w:asciiTheme="majorHAnsi" w:hAnsiTheme="majorHAnsi"/>
          <w:bCs/>
          <w:noProof/>
        </w:rPr>
        <w:t>Spielzeug</w:t>
      </w:r>
    </w:p>
    <w:p w:rsidR="00C145B9" w:rsidRPr="002D1DBB" w:rsidRDefault="00C145B9" w:rsidP="002D1DBB">
      <w:pPr>
        <w:rPr>
          <w:rFonts w:asciiTheme="majorHAnsi" w:hAnsiTheme="majorHAnsi"/>
          <w:noProof/>
        </w:rPr>
      </w:pPr>
    </w:p>
    <w:sectPr w:rsidR="00C145B9" w:rsidRPr="002D1DBB" w:rsidSect="00FC3EF4">
      <w:pgSz w:w="11906" w:h="16838"/>
      <w:pgMar w:top="1418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DA2"/>
    <w:multiLevelType w:val="multilevel"/>
    <w:tmpl w:val="22CE9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27408"/>
    <w:multiLevelType w:val="hybridMultilevel"/>
    <w:tmpl w:val="4E5EDA5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2C4A8B"/>
    <w:multiLevelType w:val="multilevel"/>
    <w:tmpl w:val="DDD6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22"/>
    <w:rsid w:val="00083851"/>
    <w:rsid w:val="00112427"/>
    <w:rsid w:val="001E16F2"/>
    <w:rsid w:val="002C6BE3"/>
    <w:rsid w:val="002D1DBB"/>
    <w:rsid w:val="002D3B22"/>
    <w:rsid w:val="002E44A3"/>
    <w:rsid w:val="00304A29"/>
    <w:rsid w:val="00366719"/>
    <w:rsid w:val="003906B6"/>
    <w:rsid w:val="003A51A6"/>
    <w:rsid w:val="004542F0"/>
    <w:rsid w:val="004B721B"/>
    <w:rsid w:val="005B1BD8"/>
    <w:rsid w:val="00622FF0"/>
    <w:rsid w:val="00643D68"/>
    <w:rsid w:val="00762953"/>
    <w:rsid w:val="007F5034"/>
    <w:rsid w:val="00874960"/>
    <w:rsid w:val="009B6056"/>
    <w:rsid w:val="009C2352"/>
    <w:rsid w:val="009E53C5"/>
    <w:rsid w:val="00A05245"/>
    <w:rsid w:val="00A305DF"/>
    <w:rsid w:val="00A61FCF"/>
    <w:rsid w:val="00A87514"/>
    <w:rsid w:val="00C145B9"/>
    <w:rsid w:val="00CE6EE8"/>
    <w:rsid w:val="00D3026D"/>
    <w:rsid w:val="00E0007E"/>
    <w:rsid w:val="00E94B04"/>
    <w:rsid w:val="00F2090D"/>
    <w:rsid w:val="00F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480" w:lineRule="auto"/>
        <w:ind w:left="284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D68"/>
    <w:pPr>
      <w:spacing w:line="240" w:lineRule="auto"/>
      <w:ind w:left="0" w:right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B6056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6056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6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6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2D3B22"/>
    <w:rPr>
      <w:color w:val="0000FF" w:themeColor="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305DF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305D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14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480" w:lineRule="auto"/>
        <w:ind w:left="284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D68"/>
    <w:pPr>
      <w:spacing w:line="240" w:lineRule="auto"/>
      <w:ind w:left="0" w:right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B6056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6056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6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6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2D3B22"/>
    <w:rPr>
      <w:color w:val="0000FF" w:themeColor="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305DF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305D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14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18598">
      <w:bodyDiv w:val="1"/>
      <w:marLeft w:val="375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417">
              <w:marLeft w:val="0"/>
              <w:marRight w:val="1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0002">
                  <w:marLeft w:val="1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951390">
      <w:bodyDiv w:val="1"/>
      <w:marLeft w:val="375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0177">
              <w:marLeft w:val="0"/>
              <w:marRight w:val="1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5950">
                  <w:marLeft w:val="1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C77E9-49B5-4736-8ADF-9D8923C1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Näherungsschalter</vt:lpstr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Näherungsschalter</dc:title>
  <dc:subject>Berufl. PC-Einsatz</dc:subject>
  <dc:creator>H. Gächter</dc:creator>
  <cp:lastModifiedBy>H. Gächter</cp:lastModifiedBy>
  <cp:revision>2</cp:revision>
  <dcterms:created xsi:type="dcterms:W3CDTF">2010-11-12T08:34:00Z</dcterms:created>
  <dcterms:modified xsi:type="dcterms:W3CDTF">2010-11-12T08:34:00Z</dcterms:modified>
</cp:coreProperties>
</file>