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6E" w:rsidRPr="00E67C7D" w:rsidRDefault="00281083">
      <w:pPr>
        <w:pStyle w:val="Kopfzeile"/>
        <w:tabs>
          <w:tab w:val="clear" w:pos="4536"/>
          <w:tab w:val="clear" w:pos="9072"/>
        </w:tabs>
        <w:rPr>
          <w:rFonts w:cs="Arial"/>
          <w:noProof/>
          <w:lang w:val="de-CH"/>
        </w:rPr>
      </w:pPr>
      <w:r>
        <w:rPr>
          <w:rFonts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-122555</wp:posOffset>
                </wp:positionV>
                <wp:extent cx="3657600" cy="82550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-3.8pt;margin-top:-9.65pt;width:4in;height: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" fillcolor="#36f"/>
            </w:pict>
          </mc:Fallback>
        </mc:AlternateContent>
      </w:r>
    </w:p>
    <w:p w:rsidR="00E67C7D" w:rsidRPr="00281083" w:rsidRDefault="00866595" w:rsidP="00E67C7D">
      <w:pPr>
        <w:rPr>
          <w:rFonts w:cs="Arial"/>
          <w:color w:val="FFFFFF"/>
          <w:sz w:val="32"/>
          <w:szCs w:val="32"/>
        </w:rPr>
      </w:pPr>
      <w:r w:rsidRPr="00281083">
        <w:rPr>
          <w:rFonts w:cs="Arial"/>
          <w:color w:val="FFFFFF"/>
          <w:sz w:val="32"/>
          <w:szCs w:val="32"/>
        </w:rPr>
        <w:t>Das 19. Jahrhundert: Literatur</w:t>
      </w:r>
    </w:p>
    <w:p w:rsidR="00866595" w:rsidRDefault="00281083" w:rsidP="00E67C7D">
      <w:pPr>
        <w:rPr>
          <w:rFonts w:cs="Arial"/>
          <w:i/>
          <w:color w:val="FFFFFF"/>
          <w:sz w:val="32"/>
          <w:szCs w:val="32"/>
        </w:rPr>
      </w:pPr>
      <w:r>
        <w:rPr>
          <w:rFonts w:cs="Arial"/>
          <w:i/>
          <w:color w:val="FFFFFF"/>
          <w:sz w:val="32"/>
          <w:szCs w:val="32"/>
        </w:rPr>
        <w:t>Begriffe</w:t>
      </w:r>
    </w:p>
    <w:p w:rsidR="00866595" w:rsidRPr="00E67C7D" w:rsidRDefault="00866595" w:rsidP="00E67C7D">
      <w:pPr>
        <w:rPr>
          <w:rFonts w:cs="Arial"/>
          <w:color w:val="FFFFFF"/>
          <w:sz w:val="32"/>
          <w:szCs w:val="32"/>
        </w:rPr>
      </w:pPr>
    </w:p>
    <w:p w:rsidR="00B6326E" w:rsidRPr="00E67C7D" w:rsidRDefault="00B6326E">
      <w:pPr>
        <w:rPr>
          <w:rFonts w:cs="Arial"/>
          <w:color w:val="FFFFFF"/>
          <w:sz w:val="28"/>
        </w:rPr>
      </w:pPr>
    </w:p>
    <w:p w:rsidR="00B6326E" w:rsidRPr="00E67C7D" w:rsidRDefault="00B6326E">
      <w:pPr>
        <w:rPr>
          <w:rFonts w:cs="Arial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7037"/>
      </w:tblGrid>
      <w:tr w:rsidR="00B6326E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</w:tcPr>
          <w:p w:rsidR="00B6326E" w:rsidRPr="00124D7C" w:rsidRDefault="002E03D4">
            <w:pPr>
              <w:rPr>
                <w:rFonts w:cs="Arial"/>
                <w:sz w:val="20"/>
              </w:rPr>
            </w:pPr>
            <w:r w:rsidRPr="00124D7C">
              <w:rPr>
                <w:rFonts w:cs="Arial"/>
                <w:sz w:val="20"/>
              </w:rPr>
              <w:t>Begriffe</w:t>
            </w:r>
          </w:p>
        </w:tc>
        <w:tc>
          <w:tcPr>
            <w:tcW w:w="7364" w:type="dxa"/>
          </w:tcPr>
          <w:p w:rsidR="00B6326E" w:rsidRPr="00124D7C" w:rsidRDefault="002E03D4">
            <w:pPr>
              <w:rPr>
                <w:rFonts w:cs="Arial"/>
                <w:sz w:val="20"/>
              </w:rPr>
            </w:pPr>
            <w:r w:rsidRPr="00124D7C">
              <w:rPr>
                <w:rFonts w:cs="Arial"/>
                <w:sz w:val="20"/>
              </w:rPr>
              <w:t>Erläuterung</w:t>
            </w:r>
          </w:p>
        </w:tc>
      </w:tr>
      <w:tr w:rsidR="00CF6686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</w:tcPr>
          <w:p w:rsidR="00CF6686" w:rsidRPr="00124D7C" w:rsidRDefault="00CF6686">
            <w:pPr>
              <w:rPr>
                <w:rFonts w:cs="Arial"/>
                <w:sz w:val="20"/>
              </w:rPr>
            </w:pPr>
          </w:p>
        </w:tc>
        <w:tc>
          <w:tcPr>
            <w:tcW w:w="7364" w:type="dxa"/>
          </w:tcPr>
          <w:p w:rsidR="00B247DA" w:rsidRPr="00124D7C" w:rsidRDefault="00B247DA" w:rsidP="00281083">
            <w:pPr>
              <w:rPr>
                <w:rFonts w:cs="Arial"/>
                <w:sz w:val="20"/>
              </w:rPr>
            </w:pP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Almanach</w:t>
            </w:r>
          </w:p>
        </w:tc>
        <w:tc>
          <w:tcPr>
            <w:tcW w:w="7364" w:type="dxa"/>
          </w:tcPr>
          <w:p w:rsidR="002E03D4" w:rsidRPr="00124D7C" w:rsidRDefault="002E03D4" w:rsidP="002E03D4">
            <w:pPr>
              <w:pStyle w:val="StandardWeb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124D7C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 xml:space="preserve">Ein </w:t>
            </w:r>
            <w:r w:rsidRPr="00124D7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e-DE"/>
              </w:rPr>
              <w:t>Almanach</w:t>
            </w:r>
            <w:r w:rsidRPr="00124D7C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 xml:space="preserve"> (auch </w:t>
            </w:r>
            <w:r w:rsidRPr="00124D7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de-DE"/>
              </w:rPr>
              <w:t>Jahrbuch</w:t>
            </w:r>
            <w:r w:rsidRPr="00124D7C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) ist eine periodische, meist einmal im Jahr erscheinende Schrift zu einem thematisch abgegrenzten Fachbereich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Ästhetizismus</w:t>
            </w:r>
          </w:p>
        </w:tc>
        <w:tc>
          <w:tcPr>
            <w:tcW w:w="7364" w:type="dxa"/>
          </w:tcPr>
          <w:p w:rsidR="002E03D4" w:rsidRPr="00124D7C" w:rsidRDefault="002E03D4" w:rsidP="002E03D4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Kunstrichtung mit besondere Betonung des Schönheitsideales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 xml:space="preserve">Biedermeier </w:t>
            </w:r>
            <w:proofErr w:type="spellStart"/>
            <w:r w:rsidRPr="00124D7C">
              <w:rPr>
                <w:rFonts w:cs="Arial"/>
                <w:color w:val="000000"/>
                <w:sz w:val="20"/>
              </w:rPr>
              <w:t>vs</w:t>
            </w:r>
            <w:proofErr w:type="spellEnd"/>
            <w:r w:rsidRPr="00124D7C">
              <w:rPr>
                <w:rFonts w:cs="Arial"/>
                <w:color w:val="000000"/>
                <w:sz w:val="20"/>
              </w:rPr>
              <w:t xml:space="preserve"> Vormärz</w:t>
            </w:r>
          </w:p>
        </w:tc>
        <w:tc>
          <w:tcPr>
            <w:tcW w:w="7364" w:type="dxa"/>
          </w:tcPr>
          <w:p w:rsidR="002E03D4" w:rsidRPr="00124D7C" w:rsidRDefault="002E03D4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Biedermeier ist konservativ, auf das private Wohl ausgerichtet; Vormärz will eine</w:t>
            </w:r>
            <w:r w:rsidR="00124D7C">
              <w:rPr>
                <w:rFonts w:cs="Arial"/>
                <w:color w:val="FF0000"/>
                <w:sz w:val="20"/>
              </w:rPr>
              <w:t>n</w:t>
            </w:r>
            <w:r w:rsidRPr="00124D7C">
              <w:rPr>
                <w:rFonts w:cs="Arial"/>
                <w:color w:val="FF0000"/>
                <w:sz w:val="20"/>
              </w:rPr>
              <w:t xml:space="preserve"> gesellschaftlichen und politischen Umbruch.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Bildungsroman</w:t>
            </w:r>
          </w:p>
        </w:tc>
        <w:tc>
          <w:tcPr>
            <w:tcW w:w="7364" w:type="dxa"/>
          </w:tcPr>
          <w:p w:rsidR="002E03D4" w:rsidRPr="00124D7C" w:rsidRDefault="002E03D4" w:rsidP="002E03D4">
            <w:pPr>
              <w:tabs>
                <w:tab w:val="left" w:pos="1420"/>
              </w:tabs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Thematisiert die Entwicklung von (jungen) Figuren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Burschenschaft</w:t>
            </w:r>
          </w:p>
        </w:tc>
        <w:tc>
          <w:tcPr>
            <w:tcW w:w="7364" w:type="dxa"/>
          </w:tcPr>
          <w:p w:rsidR="002E03D4" w:rsidRPr="00124D7C" w:rsidRDefault="002E03D4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Studentenverbindungen, die damals (1848) republikanisch, revolutionär ausgerichtet waren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Citoyen</w:t>
            </w:r>
          </w:p>
        </w:tc>
        <w:tc>
          <w:tcPr>
            <w:tcW w:w="7364" w:type="dxa"/>
          </w:tcPr>
          <w:p w:rsidR="002E03D4" w:rsidRPr="00124D7C" w:rsidRDefault="002E03D4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Bürger/in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Demagogen</w:t>
            </w:r>
          </w:p>
        </w:tc>
        <w:tc>
          <w:tcPr>
            <w:tcW w:w="7364" w:type="dxa"/>
          </w:tcPr>
          <w:p w:rsidR="002E03D4" w:rsidRPr="00124D7C" w:rsidRDefault="00F50DC7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Hetzer, Volksverführer vor</w:t>
            </w:r>
            <w:r w:rsidR="00124D7C">
              <w:rPr>
                <w:rFonts w:cs="Arial"/>
                <w:color w:val="FF0000"/>
                <w:sz w:val="20"/>
              </w:rPr>
              <w:t xml:space="preserve"> </w:t>
            </w:r>
            <w:r w:rsidRPr="00124D7C">
              <w:rPr>
                <w:rFonts w:cs="Arial"/>
                <w:color w:val="FF0000"/>
                <w:sz w:val="20"/>
              </w:rPr>
              <w:t>allem im politischen Sinn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Dialektik</w:t>
            </w:r>
          </w:p>
        </w:tc>
        <w:tc>
          <w:tcPr>
            <w:tcW w:w="7364" w:type="dxa"/>
          </w:tcPr>
          <w:p w:rsidR="002E03D4" w:rsidRPr="00124D7C" w:rsidRDefault="00F50DC7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Durch Gegensätze (These, Antithese) und dem Schluss auf die Synthese geht Entwicklungsfortschritt voran; Diskurs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Dualismus</w:t>
            </w:r>
          </w:p>
        </w:tc>
        <w:tc>
          <w:tcPr>
            <w:tcW w:w="7364" w:type="dxa"/>
          </w:tcPr>
          <w:p w:rsidR="002E03D4" w:rsidRPr="00124D7C" w:rsidRDefault="00F50DC7" w:rsidP="00281083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Zwei Grundsubstanzen bestimmen das Dasein oder die Erkenntnis (z. B. Geist und Körper)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Fingierter Erzähler</w:t>
            </w:r>
          </w:p>
        </w:tc>
        <w:tc>
          <w:tcPr>
            <w:tcW w:w="7364" w:type="dxa"/>
          </w:tcPr>
          <w:p w:rsidR="002E03D4" w:rsidRPr="00124D7C" w:rsidRDefault="0066639E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Erfundener Erzähler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Humanistische Bildung</w:t>
            </w:r>
          </w:p>
        </w:tc>
        <w:tc>
          <w:tcPr>
            <w:tcW w:w="7364" w:type="dxa"/>
          </w:tcPr>
          <w:p w:rsidR="002E03D4" w:rsidRPr="00124D7C" w:rsidRDefault="0066639E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Bildung die nach Werten wie Individualität, Kreativität und Menschenrechten ausgerichtet ist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Idealismus der Vernunft</w:t>
            </w:r>
          </w:p>
        </w:tc>
        <w:tc>
          <w:tcPr>
            <w:tcW w:w="7364" w:type="dxa"/>
          </w:tcPr>
          <w:p w:rsidR="002E03D4" w:rsidRPr="00124D7C" w:rsidRDefault="0066639E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Das Seiende ist geistig bestimmt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Imperialismus</w:t>
            </w:r>
          </w:p>
        </w:tc>
        <w:tc>
          <w:tcPr>
            <w:tcW w:w="7364" w:type="dxa"/>
          </w:tcPr>
          <w:p w:rsidR="002E03D4" w:rsidRPr="00124D7C" w:rsidRDefault="0066639E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Machtpolitik, die über den Einfluss auf dem Kontinent (Europa) bis in die Kolonien weitergeführt wird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Kategorischer Imperativ</w:t>
            </w:r>
          </w:p>
        </w:tc>
        <w:tc>
          <w:tcPr>
            <w:tcW w:w="7364" w:type="dxa"/>
          </w:tcPr>
          <w:p w:rsidR="002E03D4" w:rsidRPr="00124D7C" w:rsidRDefault="0066639E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„Handle so, dass die Maxime deines Handeln</w:t>
            </w:r>
            <w:r w:rsidR="00124D7C">
              <w:rPr>
                <w:rFonts w:cs="Arial"/>
                <w:color w:val="FF0000"/>
                <w:sz w:val="20"/>
              </w:rPr>
              <w:t>s</w:t>
            </w:r>
            <w:r w:rsidRPr="00124D7C">
              <w:rPr>
                <w:rFonts w:cs="Arial"/>
                <w:color w:val="FF0000"/>
                <w:sz w:val="20"/>
              </w:rPr>
              <w:t xml:space="preserve"> gleichsam als </w:t>
            </w:r>
            <w:r w:rsidR="00124D7C">
              <w:rPr>
                <w:rFonts w:cs="Arial"/>
                <w:color w:val="FF0000"/>
                <w:sz w:val="20"/>
              </w:rPr>
              <w:t>all</w:t>
            </w:r>
            <w:r w:rsidRPr="00124D7C">
              <w:rPr>
                <w:rFonts w:cs="Arial"/>
                <w:color w:val="FF0000"/>
                <w:sz w:val="20"/>
              </w:rPr>
              <w:t>gemeines Gesetz gelten kann.“ (Kant)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Kausalgesetzliche Bedingtheit des Seelenlebens</w:t>
            </w:r>
          </w:p>
        </w:tc>
        <w:tc>
          <w:tcPr>
            <w:tcW w:w="7364" w:type="dxa"/>
          </w:tcPr>
          <w:p w:rsidR="002E03D4" w:rsidRPr="00124D7C" w:rsidRDefault="0066639E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Der Zustand der Seele und ihrer Entwicklung ist durch Naturgesetze bestimmt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Kausalzusammenhang</w:t>
            </w:r>
          </w:p>
        </w:tc>
        <w:tc>
          <w:tcPr>
            <w:tcW w:w="7364" w:type="dxa"/>
          </w:tcPr>
          <w:p w:rsidR="002E03D4" w:rsidRPr="00124D7C" w:rsidRDefault="0066639E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 xml:space="preserve">Die </w:t>
            </w:r>
            <w:r w:rsidR="00686CFE" w:rsidRPr="00124D7C">
              <w:rPr>
                <w:rFonts w:cs="Arial"/>
                <w:color w:val="FF0000"/>
                <w:sz w:val="20"/>
              </w:rPr>
              <w:t>Veränderung von Zuständen sind durch „wenn…dann“-Beziehungen bestimmt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Klassik-Begriff</w:t>
            </w:r>
          </w:p>
        </w:tc>
        <w:tc>
          <w:tcPr>
            <w:tcW w:w="7364" w:type="dxa"/>
          </w:tcPr>
          <w:p w:rsidR="002E03D4" w:rsidRPr="00124D7C" w:rsidRDefault="00686CFE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Hochkultur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Pflichtethik</w:t>
            </w:r>
          </w:p>
        </w:tc>
        <w:tc>
          <w:tcPr>
            <w:tcW w:w="7364" w:type="dxa"/>
          </w:tcPr>
          <w:p w:rsidR="002E03D4" w:rsidRPr="00124D7C" w:rsidRDefault="00686CFE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 xml:space="preserve">Eine Ethik, die dem kategorischen Imperativ folgt; Deontologische Ethik (Gegenteil: </w:t>
            </w:r>
            <w:proofErr w:type="spellStart"/>
            <w:r w:rsidRPr="00124D7C">
              <w:rPr>
                <w:rFonts w:cs="Arial"/>
                <w:color w:val="FF0000"/>
                <w:sz w:val="20"/>
              </w:rPr>
              <w:t>konsequentialistische</w:t>
            </w:r>
            <w:proofErr w:type="spellEnd"/>
            <w:r w:rsidRPr="00124D7C">
              <w:rPr>
                <w:rFonts w:cs="Arial"/>
                <w:color w:val="FF0000"/>
                <w:sz w:val="20"/>
              </w:rPr>
              <w:t xml:space="preserve"> Ethik)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Pietismus</w:t>
            </w:r>
          </w:p>
        </w:tc>
        <w:tc>
          <w:tcPr>
            <w:tcW w:w="7364" w:type="dxa"/>
          </w:tcPr>
          <w:p w:rsidR="002E03D4" w:rsidRPr="00124D7C" w:rsidRDefault="00686CFE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Protestantische Frömmigkeit, Betonung der Individual</w:t>
            </w:r>
            <w:r w:rsidR="00124D7C">
              <w:rPr>
                <w:rFonts w:cs="Arial"/>
                <w:color w:val="FF0000"/>
                <w:sz w:val="20"/>
              </w:rPr>
              <w:t>it</w:t>
            </w:r>
            <w:bookmarkStart w:id="0" w:name="_GoBack"/>
            <w:bookmarkEnd w:id="0"/>
            <w:r w:rsidRPr="00124D7C">
              <w:rPr>
                <w:rFonts w:cs="Arial"/>
                <w:color w:val="FF0000"/>
                <w:sz w:val="20"/>
              </w:rPr>
              <w:t>ät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Poetischer Realismus</w:t>
            </w:r>
          </w:p>
        </w:tc>
        <w:tc>
          <w:tcPr>
            <w:tcW w:w="7364" w:type="dxa"/>
          </w:tcPr>
          <w:p w:rsidR="002E03D4" w:rsidRPr="00124D7C" w:rsidRDefault="00686CFE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Der Wirklichkeit entsprechende Darstellungen, in einer lyrik-ähnlichen Sprache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Positivistisches Weltbild</w:t>
            </w:r>
          </w:p>
        </w:tc>
        <w:tc>
          <w:tcPr>
            <w:tcW w:w="7364" w:type="dxa"/>
          </w:tcPr>
          <w:p w:rsidR="002E03D4" w:rsidRPr="00124D7C" w:rsidRDefault="00686CFE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Das Seiende ist materiell bestimmt.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Proletarier</w:t>
            </w:r>
          </w:p>
        </w:tc>
        <w:tc>
          <w:tcPr>
            <w:tcW w:w="7364" w:type="dxa"/>
          </w:tcPr>
          <w:p w:rsidR="002E03D4" w:rsidRPr="00124D7C" w:rsidRDefault="00686CFE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Arbeiter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Prophetie</w:t>
            </w:r>
          </w:p>
        </w:tc>
        <w:tc>
          <w:tcPr>
            <w:tcW w:w="7364" w:type="dxa"/>
          </w:tcPr>
          <w:p w:rsidR="002E03D4" w:rsidRPr="00124D7C" w:rsidRDefault="00686CFE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Vorhersage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Restauration</w:t>
            </w:r>
          </w:p>
        </w:tc>
        <w:tc>
          <w:tcPr>
            <w:tcW w:w="7364" w:type="dxa"/>
          </w:tcPr>
          <w:p w:rsidR="002E03D4" w:rsidRPr="00124D7C" w:rsidRDefault="00AE2D46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Wiederherstellung der Vor-revolutionären Zustände in der ersten Hälfte des 19. Jahrhunderts (nach Napoleon, 1815 Wiener Kongress)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Romantische Ironie</w:t>
            </w:r>
          </w:p>
        </w:tc>
        <w:tc>
          <w:tcPr>
            <w:tcW w:w="7364" w:type="dxa"/>
          </w:tcPr>
          <w:p w:rsidR="002E03D4" w:rsidRPr="00124D7C" w:rsidRDefault="00124D7C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Die Kunst wird im Kunstwerk selbst reflektiert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Sentenz</w:t>
            </w:r>
          </w:p>
        </w:tc>
        <w:tc>
          <w:tcPr>
            <w:tcW w:w="7364" w:type="dxa"/>
          </w:tcPr>
          <w:p w:rsidR="002E03D4" w:rsidRPr="00124D7C" w:rsidRDefault="00124D7C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 xml:space="preserve">Sinnspruch „Ohne </w:t>
            </w:r>
            <w:proofErr w:type="spellStart"/>
            <w:r w:rsidRPr="00124D7C">
              <w:rPr>
                <w:rFonts w:cs="Arial"/>
                <w:color w:val="FF0000"/>
                <w:sz w:val="20"/>
              </w:rPr>
              <w:t>Fleiss</w:t>
            </w:r>
            <w:proofErr w:type="spellEnd"/>
            <w:r w:rsidRPr="00124D7C">
              <w:rPr>
                <w:rFonts w:cs="Arial"/>
                <w:color w:val="FF0000"/>
                <w:sz w:val="20"/>
              </w:rPr>
              <w:t xml:space="preserve"> kein Preis“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Spinozas Pantheismus</w:t>
            </w:r>
          </w:p>
        </w:tc>
        <w:tc>
          <w:tcPr>
            <w:tcW w:w="7364" w:type="dxa"/>
          </w:tcPr>
          <w:p w:rsidR="002E03D4" w:rsidRPr="00124D7C" w:rsidRDefault="00124D7C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Gott ist eins mit Kosmos und Natur; es gibt nur eine Substanz (Monismus)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Universalpoesie</w:t>
            </w:r>
          </w:p>
        </w:tc>
        <w:tc>
          <w:tcPr>
            <w:tcW w:w="7364" w:type="dxa"/>
          </w:tcPr>
          <w:p w:rsidR="002E03D4" w:rsidRPr="00124D7C" w:rsidRDefault="00124D7C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Alle Formen literarischer Gattungen werden zusammengeführt (und ist ewig am Werden)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 xml:space="preserve">Volksmärchen </w:t>
            </w:r>
            <w:proofErr w:type="spellStart"/>
            <w:r w:rsidRPr="00124D7C">
              <w:rPr>
                <w:rFonts w:cs="Arial"/>
                <w:color w:val="000000"/>
                <w:sz w:val="20"/>
              </w:rPr>
              <w:t>vs</w:t>
            </w:r>
            <w:proofErr w:type="spellEnd"/>
            <w:r w:rsidRPr="00124D7C">
              <w:rPr>
                <w:rFonts w:cs="Arial"/>
                <w:color w:val="000000"/>
                <w:sz w:val="20"/>
              </w:rPr>
              <w:t xml:space="preserve"> Kunstmärchen</w:t>
            </w:r>
          </w:p>
        </w:tc>
        <w:tc>
          <w:tcPr>
            <w:tcW w:w="7364" w:type="dxa"/>
          </w:tcPr>
          <w:p w:rsidR="002E03D4" w:rsidRPr="00124D7C" w:rsidRDefault="00124D7C" w:rsidP="00E67C7D">
            <w:pPr>
              <w:rPr>
                <w:rFonts w:cs="Arial"/>
                <w:color w:val="FF0000"/>
                <w:sz w:val="20"/>
              </w:rPr>
            </w:pPr>
            <w:r w:rsidRPr="00124D7C">
              <w:rPr>
                <w:rFonts w:cs="Arial"/>
                <w:color w:val="FF0000"/>
                <w:sz w:val="20"/>
              </w:rPr>
              <w:t>Traditionelle Form des Märchens – Schöpfung eines Märchens</w:t>
            </w:r>
          </w:p>
        </w:tc>
      </w:tr>
      <w:tr w:rsidR="002E03D4" w:rsidRPr="00124D7C" w:rsidTr="002E03D4">
        <w:tblPrEx>
          <w:tblCellMar>
            <w:top w:w="0" w:type="dxa"/>
            <w:bottom w:w="0" w:type="dxa"/>
          </w:tblCellMar>
        </w:tblPrEx>
        <w:tc>
          <w:tcPr>
            <w:tcW w:w="1848" w:type="dxa"/>
            <w:shd w:val="clear" w:color="auto" w:fill="99CCFF"/>
            <w:vAlign w:val="center"/>
          </w:tcPr>
          <w:p w:rsidR="002E03D4" w:rsidRPr="00124D7C" w:rsidRDefault="002E03D4">
            <w:pPr>
              <w:rPr>
                <w:rFonts w:cs="Arial"/>
                <w:color w:val="000000"/>
                <w:sz w:val="20"/>
              </w:rPr>
            </w:pPr>
            <w:r w:rsidRPr="00124D7C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7364" w:type="dxa"/>
          </w:tcPr>
          <w:p w:rsidR="002E03D4" w:rsidRPr="00124D7C" w:rsidRDefault="002E03D4" w:rsidP="00E67C7D">
            <w:pPr>
              <w:rPr>
                <w:rFonts w:cs="Arial"/>
                <w:color w:val="FF0000"/>
                <w:sz w:val="20"/>
              </w:rPr>
            </w:pPr>
          </w:p>
        </w:tc>
      </w:tr>
    </w:tbl>
    <w:p w:rsidR="00E67C7D" w:rsidRPr="00124D7C" w:rsidRDefault="00E67C7D" w:rsidP="00CC1FEF">
      <w:pPr>
        <w:rPr>
          <w:sz w:val="16"/>
          <w:szCs w:val="16"/>
        </w:rPr>
      </w:pPr>
    </w:p>
    <w:sectPr w:rsidR="00E67C7D" w:rsidRPr="00124D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394" w:rsidRDefault="008E7394">
      <w:r>
        <w:separator/>
      </w:r>
    </w:p>
  </w:endnote>
  <w:endnote w:type="continuationSeparator" w:id="0">
    <w:p w:rsidR="008E7394" w:rsidRDefault="008E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D01" w:rsidRDefault="00F36D0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FA" w:rsidRDefault="006931FA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3. Lehrjahr</w:t>
    </w:r>
    <w:r>
      <w:rPr>
        <w:color w:val="FFFFFF"/>
        <w:sz w:val="20"/>
        <w:shd w:val="clear" w:color="auto" w:fill="99CCFF"/>
        <w:lang w:val="de-CH"/>
      </w:rPr>
      <w:tab/>
    </w:r>
    <w:r>
      <w:rPr>
        <w:color w:val="FFFFFF"/>
        <w:sz w:val="20"/>
        <w:shd w:val="clear" w:color="auto" w:fill="99CCFF"/>
        <w:lang w:val="de-CH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D01" w:rsidRDefault="00F36D0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394" w:rsidRDefault="008E7394">
      <w:r>
        <w:separator/>
      </w:r>
    </w:p>
  </w:footnote>
  <w:footnote w:type="continuationSeparator" w:id="0">
    <w:p w:rsidR="008E7394" w:rsidRDefault="008E7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D01" w:rsidRDefault="00F36D0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FA" w:rsidRDefault="00F36D01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Orientierungswissen</w:t>
    </w:r>
    <w:r w:rsidR="006931FA">
      <w:rPr>
        <w:shd w:val="clear" w:color="auto" w:fill="99CCFF"/>
        <w:lang w:val="de-CH"/>
      </w:rPr>
      <w:tab/>
    </w:r>
    <w:r w:rsidR="006931FA">
      <w:rPr>
        <w:shd w:val="clear" w:color="auto" w:fill="99CCFF"/>
        <w:lang w:val="de-CH"/>
      </w:rPr>
      <w:tab/>
    </w:r>
    <w:r w:rsidR="006931FA">
      <w:rPr>
        <w:sz w:val="20"/>
        <w:shd w:val="clear" w:color="auto" w:fill="99CCFF"/>
        <w:lang w:val="de-CH"/>
      </w:rPr>
      <w:t>19. Jahrhundert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D01" w:rsidRDefault="00F36D0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8464F"/>
    <w:multiLevelType w:val="hybridMultilevel"/>
    <w:tmpl w:val="0C52F9B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F86624"/>
    <w:multiLevelType w:val="hybridMultilevel"/>
    <w:tmpl w:val="D9483B1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740810"/>
    <w:multiLevelType w:val="hybridMultilevel"/>
    <w:tmpl w:val="63CC145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1FA"/>
    <w:rsid w:val="0000484A"/>
    <w:rsid w:val="0004585A"/>
    <w:rsid w:val="000A2D8F"/>
    <w:rsid w:val="00124D7C"/>
    <w:rsid w:val="001C5699"/>
    <w:rsid w:val="001D4AD2"/>
    <w:rsid w:val="001E7E32"/>
    <w:rsid w:val="002023F3"/>
    <w:rsid w:val="002404D3"/>
    <w:rsid w:val="00281083"/>
    <w:rsid w:val="00294238"/>
    <w:rsid w:val="002C7B6A"/>
    <w:rsid w:val="002E03D4"/>
    <w:rsid w:val="002F12B3"/>
    <w:rsid w:val="003401E2"/>
    <w:rsid w:val="00343FF3"/>
    <w:rsid w:val="003F2E06"/>
    <w:rsid w:val="00462194"/>
    <w:rsid w:val="004737F2"/>
    <w:rsid w:val="00567418"/>
    <w:rsid w:val="005E4A36"/>
    <w:rsid w:val="006660D8"/>
    <w:rsid w:val="0066639E"/>
    <w:rsid w:val="00686CFE"/>
    <w:rsid w:val="006931FA"/>
    <w:rsid w:val="006D78C0"/>
    <w:rsid w:val="00706692"/>
    <w:rsid w:val="007C30EA"/>
    <w:rsid w:val="007F4939"/>
    <w:rsid w:val="00814F6A"/>
    <w:rsid w:val="0083051C"/>
    <w:rsid w:val="00866595"/>
    <w:rsid w:val="008E7394"/>
    <w:rsid w:val="00954FC9"/>
    <w:rsid w:val="00986205"/>
    <w:rsid w:val="00A20AC2"/>
    <w:rsid w:val="00AE2D46"/>
    <w:rsid w:val="00B247DA"/>
    <w:rsid w:val="00B6326E"/>
    <w:rsid w:val="00BB159D"/>
    <w:rsid w:val="00BD6457"/>
    <w:rsid w:val="00BF05BF"/>
    <w:rsid w:val="00C51EA5"/>
    <w:rsid w:val="00C67015"/>
    <w:rsid w:val="00CC1FEF"/>
    <w:rsid w:val="00CC52A8"/>
    <w:rsid w:val="00CC5C07"/>
    <w:rsid w:val="00CF6686"/>
    <w:rsid w:val="00D00D38"/>
    <w:rsid w:val="00D73E93"/>
    <w:rsid w:val="00D93BDE"/>
    <w:rsid w:val="00DB057B"/>
    <w:rsid w:val="00DC1A39"/>
    <w:rsid w:val="00E27628"/>
    <w:rsid w:val="00E52D9E"/>
    <w:rsid w:val="00E67C7D"/>
    <w:rsid w:val="00E7520D"/>
    <w:rsid w:val="00E8017A"/>
    <w:rsid w:val="00EA7E29"/>
    <w:rsid w:val="00F36D01"/>
    <w:rsid w:val="00F50DC7"/>
    <w:rsid w:val="00F570E6"/>
    <w:rsid w:val="00F95D48"/>
    <w:rsid w:val="00FC47C5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9f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FF41FA"/>
    <w:rPr>
      <w:color w:val="0000FF"/>
      <w:u w:val="single"/>
    </w:rPr>
  </w:style>
  <w:style w:type="character" w:styleId="BesuchterHyperlink">
    <w:name w:val="FollowedHyperlink"/>
    <w:rsid w:val="00FF41FA"/>
    <w:rPr>
      <w:color w:val="800080"/>
      <w:u w:val="single"/>
    </w:rPr>
  </w:style>
  <w:style w:type="paragraph" w:styleId="Textkrper">
    <w:name w:val="Body Text"/>
    <w:basedOn w:val="Standard"/>
    <w:rsid w:val="00D93BDE"/>
    <w:pPr>
      <w:tabs>
        <w:tab w:val="right" w:pos="5245"/>
        <w:tab w:val="right" w:pos="9639"/>
      </w:tabs>
      <w:spacing w:after="60"/>
    </w:pPr>
    <w:rPr>
      <w:rFonts w:cs="Arial"/>
      <w:sz w:val="22"/>
      <w:szCs w:val="24"/>
      <w:lang w:val="de-CH"/>
    </w:rPr>
  </w:style>
  <w:style w:type="paragraph" w:styleId="StandardWeb">
    <w:name w:val="Normal (Web)"/>
    <w:basedOn w:val="Standard"/>
    <w:uiPriority w:val="99"/>
    <w:unhideWhenUsed/>
    <w:rsid w:val="002E03D4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FF41FA"/>
    <w:rPr>
      <w:color w:val="0000FF"/>
      <w:u w:val="single"/>
    </w:rPr>
  </w:style>
  <w:style w:type="character" w:styleId="BesuchterHyperlink">
    <w:name w:val="FollowedHyperlink"/>
    <w:rsid w:val="00FF41FA"/>
    <w:rPr>
      <w:color w:val="800080"/>
      <w:u w:val="single"/>
    </w:rPr>
  </w:style>
  <w:style w:type="paragraph" w:styleId="Textkrper">
    <w:name w:val="Body Text"/>
    <w:basedOn w:val="Standard"/>
    <w:rsid w:val="00D93BDE"/>
    <w:pPr>
      <w:tabs>
        <w:tab w:val="right" w:pos="5245"/>
        <w:tab w:val="right" w:pos="9639"/>
      </w:tabs>
      <w:spacing w:after="60"/>
    </w:pPr>
    <w:rPr>
      <w:rFonts w:cs="Arial"/>
      <w:sz w:val="22"/>
      <w:szCs w:val="24"/>
      <w:lang w:val="de-CH"/>
    </w:rPr>
  </w:style>
  <w:style w:type="paragraph" w:styleId="StandardWeb">
    <w:name w:val="Normal (Web)"/>
    <w:basedOn w:val="Standard"/>
    <w:uiPriority w:val="99"/>
    <w:unhideWhenUsed/>
    <w:rsid w:val="002E03D4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oernie\Anwendungsdaten\Microsoft\Vorlagen\Gibb\2003%20KWK%20anti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antike.dot</Template>
  <TotalTime>0</TotalTime>
  <Pages>1</Pages>
  <Words>298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9</cp:revision>
  <cp:lastPrinted>2003-02-13T14:52:00Z</cp:lastPrinted>
  <dcterms:created xsi:type="dcterms:W3CDTF">2014-05-21T06:40:00Z</dcterms:created>
  <dcterms:modified xsi:type="dcterms:W3CDTF">2014-05-21T07:14:00Z</dcterms:modified>
</cp:coreProperties>
</file>